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7E4C" w:rsidRPr="00F07E4C" w:rsidRDefault="00F07E4C" w:rsidP="00F07E4C">
      <w:pPr>
        <w:rPr>
          <w:b/>
          <w:sz w:val="28"/>
        </w:rPr>
      </w:pPr>
      <w:proofErr w:type="spellStart"/>
      <w:r>
        <w:rPr>
          <w:b/>
          <w:sz w:val="28"/>
        </w:rPr>
        <w:t>Doka</w:t>
      </w:r>
      <w:proofErr w:type="spellEnd"/>
      <w:r>
        <w:rPr>
          <w:b/>
          <w:sz w:val="28"/>
        </w:rPr>
        <w:t xml:space="preserve"> coffre en 2017 sa 1000e tour</w:t>
      </w:r>
    </w:p>
    <w:p w:rsidR="00F07E4C" w:rsidRPr="002E7289" w:rsidRDefault="00F07E4C" w:rsidP="00F07E4C">
      <w:pPr>
        <w:rPr>
          <w:b/>
        </w:rPr>
      </w:pPr>
    </w:p>
    <w:p w:rsidR="002E7289" w:rsidRPr="00F07E4C" w:rsidRDefault="00EC626D" w:rsidP="00034099">
      <w:pPr>
        <w:rPr>
          <w:b/>
        </w:rPr>
      </w:pPr>
      <w:r>
        <w:rPr>
          <w:b/>
        </w:rPr>
        <w:t>La compétence à toutes les hauteurs</w:t>
      </w:r>
    </w:p>
    <w:p w:rsidR="007E2140" w:rsidRPr="00B663BA" w:rsidRDefault="007E2140" w:rsidP="00C04655">
      <w:pPr>
        <w:spacing w:line="276" w:lineRule="auto"/>
        <w:rPr>
          <w:b/>
          <w:szCs w:val="22"/>
        </w:rPr>
      </w:pPr>
    </w:p>
    <w:p w:rsidR="00B663BA" w:rsidRDefault="00B663BA" w:rsidP="00C04655">
      <w:pPr>
        <w:spacing w:line="276" w:lineRule="auto"/>
        <w:rPr>
          <w:b/>
          <w:szCs w:val="22"/>
        </w:rPr>
      </w:pPr>
      <w:r w:rsidRPr="00CA7BB9">
        <w:rPr>
          <w:b/>
        </w:rPr>
        <w:t>Chaque tour est unique – il en va de même pour la solution de coffrage qui l’accompagne.</w:t>
      </w:r>
      <w:r>
        <w:rPr>
          <w:b/>
          <w:szCs w:val="22"/>
        </w:rPr>
        <w:t xml:space="preserve"> Pour le développement d’une solution de coffrage sur mesure, la compétence est essentielle. </w:t>
      </w:r>
      <w:proofErr w:type="spellStart"/>
      <w:r>
        <w:rPr>
          <w:b/>
          <w:szCs w:val="22"/>
        </w:rPr>
        <w:t>Doka</w:t>
      </w:r>
      <w:proofErr w:type="spellEnd"/>
      <w:r>
        <w:rPr>
          <w:b/>
          <w:szCs w:val="22"/>
        </w:rPr>
        <w:t xml:space="preserve"> affiche, dans le domaine des immeubles de grande hauteur, plus de 40 ans d’ex</w:t>
      </w:r>
      <w:bookmarkStart w:id="0" w:name="_GoBack"/>
      <w:bookmarkEnd w:id="0"/>
      <w:r>
        <w:rPr>
          <w:b/>
          <w:szCs w:val="22"/>
        </w:rPr>
        <w:t xml:space="preserve">périence de la technique </w:t>
      </w:r>
      <w:proofErr w:type="spellStart"/>
      <w:r>
        <w:rPr>
          <w:b/>
          <w:szCs w:val="22"/>
        </w:rPr>
        <w:t>autogrimpante</w:t>
      </w:r>
      <w:proofErr w:type="spellEnd"/>
      <w:r>
        <w:rPr>
          <w:b/>
          <w:szCs w:val="22"/>
        </w:rPr>
        <w:t xml:space="preserve"> et réalisera avec succès, cette année, le 1000e projet de tour. L’un de ces projets est actuellement la Central Park Tower à New York, l’édifice résidentiel le plus élevé au monde.</w:t>
      </w:r>
    </w:p>
    <w:p w:rsidR="00C04655" w:rsidRPr="00B630BB" w:rsidRDefault="00C04655" w:rsidP="00C70ABB">
      <w:pPr>
        <w:spacing w:line="276" w:lineRule="auto"/>
        <w:rPr>
          <w:b/>
          <w:szCs w:val="22"/>
        </w:rPr>
      </w:pPr>
    </w:p>
    <w:p w:rsidR="00EF20D8" w:rsidRDefault="00D0718E" w:rsidP="00EF20D8">
      <w:pPr>
        <w:spacing w:line="276" w:lineRule="auto"/>
        <w:rPr>
          <w:szCs w:val="22"/>
        </w:rPr>
      </w:pPr>
      <w:r>
        <w:t xml:space="preserve">Au début du XXIe siècle, plus de 50 % des humains habitaient dans des villes. Selon des prévisions des Nations Unies, en 2050, près de 70 % de la population mondiale vivra dans l’espace urbanisé. En raison de cette tendance, le nombre de tours augmente dans les villes, notamment dans les grandes agglomérations où l’espace s’amenuise de plus en plus. En 2016, selon des statistiques du Council on </w:t>
      </w:r>
      <w:proofErr w:type="spellStart"/>
      <w:r>
        <w:t>Tall</w:t>
      </w:r>
      <w:proofErr w:type="spellEnd"/>
      <w:r>
        <w:t xml:space="preserve"> Buildings and </w:t>
      </w:r>
      <w:proofErr w:type="spellStart"/>
      <w:r>
        <w:t>Urban</w:t>
      </w:r>
      <w:proofErr w:type="spellEnd"/>
      <w:r>
        <w:t xml:space="preserve"> Habitat (CTBUH), dans le monde entier, un peu plus de 1160 édifices d’une hauteur d’au moins 200 mètres ont été achevés. En 1960, ils n’étaient que 15. La construction des tours a beaucoup changé au fil des décennies. Elle place aujourd’hui les maîtres d’ouvrages comme les concepteurs face à des défis particuliers. </w:t>
      </w:r>
      <w:proofErr w:type="spellStart"/>
      <w:r>
        <w:t>Doka</w:t>
      </w:r>
      <w:proofErr w:type="spellEnd"/>
      <w:r>
        <w:t xml:space="preserve"> est devenu, en plus de 40 ans, l’un des experts leaders mondiaux en matière de solution de coffrage pour la construction de tours. Quelles que soient les exigences, les experts de </w:t>
      </w:r>
      <w:proofErr w:type="spellStart"/>
      <w:r>
        <w:t>Doka</w:t>
      </w:r>
      <w:proofErr w:type="spellEnd"/>
      <w:r>
        <w:t xml:space="preserve"> trouvent des solutions innovantes, particulièrement rentables et </w:t>
      </w:r>
      <w:proofErr w:type="gramStart"/>
      <w:r>
        <w:t>satisfaisant</w:t>
      </w:r>
      <w:proofErr w:type="gramEnd"/>
      <w:r>
        <w:t xml:space="preserve"> aux normes de sécurité. Cette année, </w:t>
      </w:r>
      <w:proofErr w:type="spellStart"/>
      <w:r>
        <w:t>Doka</w:t>
      </w:r>
      <w:proofErr w:type="spellEnd"/>
      <w:r>
        <w:t xml:space="preserve"> coffre sa 1000e tour</w:t>
      </w:r>
    </w:p>
    <w:p w:rsidR="00EF20D8" w:rsidRPr="00716038" w:rsidRDefault="00EF20D8" w:rsidP="00EF20D8">
      <w:pPr>
        <w:spacing w:line="276" w:lineRule="auto"/>
        <w:rPr>
          <w:rFonts w:ascii="HelveticaNeueLTW1G-LtCn" w:hAnsi="HelveticaNeueLTW1G-LtCn" w:cs="HelveticaNeueLTW1G-LtCn"/>
          <w:b/>
          <w:color w:val="auto"/>
          <w:sz w:val="20"/>
          <w:szCs w:val="20"/>
        </w:rPr>
      </w:pPr>
      <w:r>
        <w:rPr>
          <w:rFonts w:ascii="HelveticaNeueLTW1G-LtCn" w:hAnsi="HelveticaNeueLTW1G-LtCn"/>
          <w:color w:val="auto"/>
          <w:sz w:val="20"/>
          <w:szCs w:val="20"/>
        </w:rPr>
        <w:t xml:space="preserve"> </w:t>
      </w:r>
    </w:p>
    <w:p w:rsidR="002217EB" w:rsidRPr="005F6A06" w:rsidRDefault="00532FA9" w:rsidP="00EF20D8">
      <w:pPr>
        <w:spacing w:line="276" w:lineRule="auto"/>
        <w:rPr>
          <w:b/>
          <w:szCs w:val="22"/>
        </w:rPr>
      </w:pPr>
      <w:r>
        <w:rPr>
          <w:b/>
          <w:szCs w:val="22"/>
        </w:rPr>
        <w:t xml:space="preserve">Un système grimpant affichant le savoir-faire </w:t>
      </w:r>
    </w:p>
    <w:p w:rsidR="00DF7395" w:rsidRPr="00DF7395" w:rsidRDefault="00F124C0" w:rsidP="00DF7395">
      <w:pPr>
        <w:spacing w:line="276" w:lineRule="auto"/>
        <w:rPr>
          <w:color w:val="auto"/>
        </w:rPr>
      </w:pPr>
      <w:r>
        <w:t xml:space="preserve">Lors de la construction des édifices les plus élevés du monde qui se dressent de plus en plus haut dans le ciel et exigent des plans architecturaux plus spécifiques, une compétence </w:t>
      </w:r>
      <w:proofErr w:type="gramStart"/>
      <w:r>
        <w:t>particulière</w:t>
      </w:r>
      <w:proofErr w:type="gramEnd"/>
      <w:r>
        <w:t xml:space="preserve"> s’impose en matière de technique de coffrage, méthodologie de construction et gestion de projet. Les tours ne se distinguent les unes des autres pas seulement au niveau extérieur ou architectural, mais avant tout en termes de structure de tabliers, de matériaux de construction et de modes de construction. Bon nombre d’entre elles ont cependant de commun qu’elles présentent un ou plusieurs noyaux en béton coulé sur place pour la viabilisation verticale du bâtiment. La plupart du temps, il est donc pertinent d’utiliser ici un système grimpant. On appelle système grimpant une combinaison d’un coffrage de voile et d’un échafaudage (ou plateforme de travail) qui est levé avec la grue ou indépendamment d’une grue lors de la phase de bétonnage suivante. </w:t>
      </w:r>
      <w:r>
        <w:rPr>
          <w:color w:val="auto"/>
        </w:rPr>
        <w:t>En termes de mode de fonctionnement et de type de construction, trois systèmes distincts se sont établis sur le marché, des systèmes grimpants sur profil, des systèmes grimpants indépendants d’une grue avec entraînement intégralement hydraulique et des systèmes de plateformes.</w:t>
      </w:r>
    </w:p>
    <w:p w:rsidR="00283BB3" w:rsidRDefault="00283BB3" w:rsidP="002217EB">
      <w:pPr>
        <w:spacing w:line="276" w:lineRule="auto"/>
        <w:rPr>
          <w:color w:val="auto"/>
        </w:rPr>
      </w:pPr>
    </w:p>
    <w:p w:rsidR="00EF20D8" w:rsidRDefault="00F84EAC" w:rsidP="00233995">
      <w:pPr>
        <w:spacing w:line="276" w:lineRule="auto"/>
        <w:rPr>
          <w:szCs w:val="22"/>
        </w:rPr>
      </w:pPr>
      <w:r>
        <w:t xml:space="preserve">Chaque système grimpant n’est pas utilisable pour chaque ouvrage. Cependant, il est tout aussi important que les exigences variées des clients, qui intègrent les conditions cadre de </w:t>
      </w:r>
      <w:r>
        <w:lastRenderedPageBreak/>
        <w:t>l’entreprise du bâtiment, soient prises en compte dans le concept de coffrage. Il est donc décisif que le fournisseur du coffrage et le client coopèrent dès la phase de développement du projet.</w:t>
      </w:r>
    </w:p>
    <w:p w:rsidR="00945FFC" w:rsidRPr="00CA7BB9" w:rsidRDefault="00945FFC" w:rsidP="00233995">
      <w:pPr>
        <w:spacing w:line="276" w:lineRule="auto"/>
        <w:rPr>
          <w:szCs w:val="22"/>
          <w:lang w:val="en-US"/>
        </w:rPr>
      </w:pPr>
    </w:p>
    <w:p w:rsidR="00DA0DAC" w:rsidRPr="00DA0DAC" w:rsidRDefault="00591F76" w:rsidP="00233995">
      <w:pPr>
        <w:spacing w:line="276" w:lineRule="auto"/>
        <w:rPr>
          <w:b/>
          <w:szCs w:val="22"/>
        </w:rPr>
      </w:pPr>
      <w:r>
        <w:rPr>
          <w:b/>
          <w:szCs w:val="22"/>
        </w:rPr>
        <w:t>Des solutions de coffrage optimales pour des exigences de clients individuelles</w:t>
      </w:r>
    </w:p>
    <w:p w:rsidR="00A3619D" w:rsidRDefault="00233995" w:rsidP="002217EB">
      <w:pPr>
        <w:spacing w:line="276" w:lineRule="auto"/>
      </w:pPr>
      <w:r>
        <w:t xml:space="preserve">L'exactitude des études est la base pour une mise en </w:t>
      </w:r>
      <w:proofErr w:type="spellStart"/>
      <w:r>
        <w:t>oeuvre</w:t>
      </w:r>
      <w:proofErr w:type="spellEnd"/>
      <w:r>
        <w:t xml:space="preserve"> de coffrage rapide et sûre. La préparation du travail revêt une importance décisive. Des facteurs comme la durée de cycle, la méthode de construction, le type d’armature et l’équipement de chantier doivent être pris en compte dès la phase de planification afin de trouver la solution de coffrage optimale. Conformément aux exigences individuelles des clients – du nombre de sections de bétonnage à la formation de l’équipe de chantier par du personnel professionnel lui-même formé, en passant par l’exécution de l’armature, </w:t>
      </w:r>
      <w:proofErr w:type="spellStart"/>
      <w:r>
        <w:t>Doka</w:t>
      </w:r>
      <w:proofErr w:type="spellEnd"/>
      <w:r>
        <w:t xml:space="preserve"> offre, pour toutes les pièces en béton coulé sur place d’un projet de tour, des solutions globales. Ceci concerne en particulier les domaines du noyau, de la dalle, des étais et de la façade. Des concepts d’échafaudage pour l’incorporation de la façade soutiennent les ouvrages suivants. </w:t>
      </w:r>
    </w:p>
    <w:p w:rsidR="002217EB" w:rsidRPr="002217EB" w:rsidRDefault="002217EB" w:rsidP="002217EB">
      <w:pPr>
        <w:spacing w:line="276" w:lineRule="auto"/>
      </w:pPr>
    </w:p>
    <w:p w:rsidR="00A3619D" w:rsidRDefault="00A3619D" w:rsidP="001E78A3">
      <w:pPr>
        <w:spacing w:line="276" w:lineRule="auto"/>
        <w:rPr>
          <w:color w:val="auto"/>
        </w:rPr>
      </w:pPr>
      <w:r>
        <w:rPr>
          <w:color w:val="auto"/>
        </w:rPr>
        <w:t xml:space="preserve">Plus un </w:t>
      </w:r>
      <w:proofErr w:type="gramStart"/>
      <w:r>
        <w:rPr>
          <w:color w:val="auto"/>
        </w:rPr>
        <w:t>édifice est</w:t>
      </w:r>
      <w:proofErr w:type="gramEnd"/>
      <w:r>
        <w:rPr>
          <w:color w:val="auto"/>
        </w:rPr>
        <w:t xml:space="preserve"> élevé, plus l’aspect de la sécurité est important lors de la translation. C’est pourquoi on utilise des systèmes qui sont reliés à l’édifice même pendant la procédure de translation et peuvent donc également être translatés à des vitesses du vent élevées. Pour éviter les zones temporairement susceptibles de provoquer des chutes, une exigence supplémentaire réside dans la translation simultanée de plusieurs unités grimpantes. Ces systèmes grimpants sont translatés de manière hydraulique.</w:t>
      </w:r>
    </w:p>
    <w:p w:rsidR="00EF20D8" w:rsidRPr="002217EB" w:rsidRDefault="00EF20D8" w:rsidP="00EF20D8">
      <w:pPr>
        <w:spacing w:line="276" w:lineRule="auto"/>
        <w:rPr>
          <w:szCs w:val="22"/>
        </w:rPr>
      </w:pPr>
    </w:p>
    <w:p w:rsidR="006B49BA" w:rsidRPr="00F75C3A" w:rsidRDefault="00EF20D8" w:rsidP="00F75C3A">
      <w:pPr>
        <w:spacing w:line="276" w:lineRule="auto"/>
        <w:rPr>
          <w:szCs w:val="22"/>
        </w:rPr>
      </w:pPr>
      <w:r>
        <w:t xml:space="preserve">Plus de 1000 techniciens </w:t>
      </w:r>
      <w:proofErr w:type="spellStart"/>
      <w:r>
        <w:t>Doka</w:t>
      </w:r>
      <w:proofErr w:type="spellEnd"/>
      <w:r>
        <w:t xml:space="preserve"> répartis dans le monde entier et le Global Expertise Center d’Amstetten aident les clients à réduire leur charge de travail de planification et à réussir la translation. Le travail en réseau de plus de 160 sites de distribution et de logistique dotés de parcs locatifs performants et de plateformes logistiques continentales est le garant de la disponibilité du matériel des solutions de coffrage de </w:t>
      </w:r>
      <w:proofErr w:type="spellStart"/>
      <w:r>
        <w:t>Doka</w:t>
      </w:r>
      <w:proofErr w:type="spellEnd"/>
      <w:r>
        <w:t xml:space="preserve"> et des livraisons juste à temps. </w:t>
      </w:r>
      <w:r>
        <w:rPr>
          <w:color w:val="auto"/>
        </w:rPr>
        <w:t xml:space="preserve">La compétence des experts et l’utilisation couronnée de succès des solutions de coffrage </w:t>
      </w:r>
      <w:proofErr w:type="spellStart"/>
      <w:r>
        <w:rPr>
          <w:color w:val="auto"/>
        </w:rPr>
        <w:t>Doka</w:t>
      </w:r>
      <w:proofErr w:type="spellEnd"/>
      <w:r>
        <w:rPr>
          <w:color w:val="auto"/>
        </w:rPr>
        <w:t xml:space="preserve"> dans la construction de tours se révèlent actuellement à l’exemple de la Central Park Tower à New York. </w:t>
      </w:r>
    </w:p>
    <w:p w:rsidR="006B49BA" w:rsidRDefault="006B49BA" w:rsidP="00034099">
      <w:pPr>
        <w:rPr>
          <w:b/>
          <w:sz w:val="20"/>
          <w:szCs w:val="20"/>
        </w:rPr>
      </w:pPr>
    </w:p>
    <w:p w:rsidR="00034099" w:rsidRPr="00F55A4E" w:rsidRDefault="00B3057D" w:rsidP="00034099">
      <w:pPr>
        <w:rPr>
          <w:b/>
          <w:sz w:val="20"/>
          <w:szCs w:val="20"/>
        </w:rPr>
      </w:pPr>
      <w:r>
        <w:rPr>
          <w:b/>
          <w:sz w:val="20"/>
          <w:szCs w:val="20"/>
        </w:rPr>
        <w:t xml:space="preserve">Concernant </w:t>
      </w:r>
      <w:proofErr w:type="spellStart"/>
      <w:r>
        <w:rPr>
          <w:b/>
          <w:sz w:val="20"/>
          <w:szCs w:val="20"/>
        </w:rPr>
        <w:t>Doka</w:t>
      </w:r>
      <w:proofErr w:type="spellEnd"/>
      <w:r>
        <w:rPr>
          <w:b/>
          <w:sz w:val="20"/>
          <w:szCs w:val="20"/>
        </w:rPr>
        <w:t xml:space="preserve"> :</w:t>
      </w:r>
    </w:p>
    <w:p w:rsidR="00034099" w:rsidRDefault="00034099" w:rsidP="00034099">
      <w:pPr>
        <w:rPr>
          <w:rFonts w:cs="Arial"/>
          <w:sz w:val="20"/>
          <w:szCs w:val="20"/>
        </w:rPr>
      </w:pPr>
      <w:r>
        <w:rPr>
          <w:sz w:val="20"/>
          <w:szCs w:val="20"/>
        </w:rPr>
        <w:t xml:space="preserve">L'entreprise </w:t>
      </w:r>
      <w:proofErr w:type="spellStart"/>
      <w:r>
        <w:rPr>
          <w:sz w:val="20"/>
          <w:szCs w:val="20"/>
        </w:rPr>
        <w:t>Doka</w:t>
      </w:r>
      <w:proofErr w:type="spellEnd"/>
      <w:r>
        <w:rPr>
          <w:sz w:val="20"/>
          <w:szCs w:val="20"/>
        </w:rPr>
        <w:t xml:space="preserve"> compte parmi les leaders mondiaux dans le développement, la fabrication et la commercialisation des techniques de coffrage, pour tous les domaines du BTP. Avec plus de 160 succursales commerciales et logistiques dans plus de 70 pays, le </w:t>
      </w:r>
      <w:proofErr w:type="spellStart"/>
      <w:r>
        <w:rPr>
          <w:sz w:val="20"/>
          <w:szCs w:val="20"/>
        </w:rPr>
        <w:t>Doka</w:t>
      </w:r>
      <w:proofErr w:type="spellEnd"/>
      <w:r>
        <w:rPr>
          <w:sz w:val="20"/>
          <w:szCs w:val="20"/>
        </w:rPr>
        <w:t xml:space="preserve"> Group dispose d'un réseau de distribution performant qui lui permet de fournir rapidement et avec professionnalisme le matériel et le support  technique. Le </w:t>
      </w:r>
      <w:proofErr w:type="spellStart"/>
      <w:r>
        <w:rPr>
          <w:sz w:val="20"/>
          <w:szCs w:val="20"/>
        </w:rPr>
        <w:t>Doka</w:t>
      </w:r>
      <w:proofErr w:type="spellEnd"/>
      <w:r>
        <w:rPr>
          <w:sz w:val="20"/>
          <w:szCs w:val="20"/>
        </w:rPr>
        <w:t xml:space="preserve"> Group est une entreprise </w:t>
      </w:r>
      <w:proofErr w:type="gramStart"/>
      <w:r>
        <w:rPr>
          <w:sz w:val="20"/>
          <w:szCs w:val="20"/>
        </w:rPr>
        <w:t xml:space="preserve">de </w:t>
      </w:r>
      <w:proofErr w:type="spellStart"/>
      <w:r>
        <w:rPr>
          <w:sz w:val="20"/>
          <w:szCs w:val="20"/>
        </w:rPr>
        <w:t>Umdasch</w:t>
      </w:r>
      <w:proofErr w:type="spellEnd"/>
      <w:proofErr w:type="gramEnd"/>
      <w:r>
        <w:rPr>
          <w:sz w:val="20"/>
          <w:szCs w:val="20"/>
        </w:rPr>
        <w:t xml:space="preserve"> Group et emploie plus de 6 200 collaboratrices et collaborateurs à travers le monde.</w:t>
      </w:r>
    </w:p>
    <w:p w:rsidR="009F7C47" w:rsidRDefault="009F7C47" w:rsidP="00507CE8">
      <w:pPr>
        <w:rPr>
          <w:rFonts w:cs="Arial"/>
          <w:sz w:val="20"/>
          <w:szCs w:val="20"/>
        </w:rPr>
      </w:pPr>
    </w:p>
    <w:p w:rsidR="00507CE8" w:rsidRPr="003A021D" w:rsidRDefault="00507CE8" w:rsidP="00507CE8">
      <w:pPr>
        <w:rPr>
          <w:rFonts w:cs="Arial"/>
          <w:b/>
          <w:sz w:val="20"/>
          <w:szCs w:val="20"/>
        </w:rPr>
      </w:pPr>
      <w:r>
        <w:rPr>
          <w:b/>
          <w:sz w:val="20"/>
          <w:szCs w:val="20"/>
        </w:rPr>
        <w:t>Contact presse</w:t>
      </w:r>
    </w:p>
    <w:p w:rsidR="00507CE8" w:rsidRPr="003A021D" w:rsidRDefault="00507CE8" w:rsidP="00507CE8">
      <w:pPr>
        <w:rPr>
          <w:rFonts w:cs="Arial"/>
          <w:b/>
          <w:sz w:val="20"/>
          <w:szCs w:val="20"/>
        </w:rPr>
      </w:pPr>
      <w:proofErr w:type="spellStart"/>
      <w:r>
        <w:rPr>
          <w:b/>
          <w:sz w:val="20"/>
          <w:szCs w:val="20"/>
        </w:rPr>
        <w:t>Doka</w:t>
      </w:r>
      <w:proofErr w:type="spellEnd"/>
      <w:r>
        <w:rPr>
          <w:b/>
          <w:sz w:val="20"/>
          <w:szCs w:val="20"/>
        </w:rPr>
        <w:t xml:space="preserve"> Group</w:t>
      </w:r>
    </w:p>
    <w:p w:rsidR="001C3BEC" w:rsidRPr="003A021D" w:rsidRDefault="00247C20" w:rsidP="00507CE8">
      <w:pPr>
        <w:rPr>
          <w:rFonts w:cs="Arial"/>
          <w:bCs/>
          <w:sz w:val="20"/>
          <w:szCs w:val="20"/>
        </w:rPr>
      </w:pPr>
      <w:r>
        <w:rPr>
          <w:bCs/>
          <w:sz w:val="20"/>
          <w:szCs w:val="20"/>
        </w:rPr>
        <w:t>Michael Fuker</w:t>
      </w:r>
    </w:p>
    <w:p w:rsidR="00B02266" w:rsidRPr="00B02266" w:rsidRDefault="00C93C50" w:rsidP="00507CE8">
      <w:pPr>
        <w:rPr>
          <w:rFonts w:cs="Arial"/>
          <w:sz w:val="20"/>
          <w:szCs w:val="20"/>
        </w:rPr>
      </w:pPr>
      <w:r>
        <w:rPr>
          <w:sz w:val="20"/>
          <w:szCs w:val="20"/>
        </w:rPr>
        <w:t>Public Relations Manager</w:t>
      </w:r>
    </w:p>
    <w:p w:rsidR="00F75C3A" w:rsidRPr="00C93C50" w:rsidRDefault="00507CE8" w:rsidP="00034099">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rsidR="00C028C2" w:rsidRDefault="00AE57CB" w:rsidP="00034099">
      <w:pPr>
        <w:rPr>
          <w:rFonts w:cs="Arial"/>
          <w:sz w:val="20"/>
          <w:szCs w:val="20"/>
        </w:rPr>
      </w:pPr>
      <w:hyperlink r:id="rId8" w:history="1">
        <w:r w:rsidR="00214591">
          <w:rPr>
            <w:rStyle w:val="Hyperlink"/>
            <w:sz w:val="20"/>
            <w:szCs w:val="20"/>
          </w:rPr>
          <w:t>press@doka.com</w:t>
        </w:r>
      </w:hyperlink>
      <w:r w:rsidR="00214591">
        <w:rPr>
          <w:sz w:val="20"/>
          <w:szCs w:val="20"/>
        </w:rPr>
        <w:t xml:space="preserve"> </w:t>
      </w:r>
    </w:p>
    <w:p w:rsidR="003A021D" w:rsidRDefault="003A021D" w:rsidP="00034099">
      <w:pPr>
        <w:rPr>
          <w:rFonts w:cs="Arial"/>
          <w:sz w:val="20"/>
          <w:szCs w:val="20"/>
        </w:rPr>
      </w:pPr>
    </w:p>
    <w:p w:rsidR="003A021D" w:rsidRDefault="003A021D" w:rsidP="00034099">
      <w:pPr>
        <w:rPr>
          <w:rFonts w:cs="Arial"/>
          <w:sz w:val="20"/>
          <w:szCs w:val="20"/>
        </w:rPr>
      </w:pPr>
    </w:p>
    <w:p w:rsidR="003A021D" w:rsidRDefault="003A021D" w:rsidP="00034099">
      <w:pPr>
        <w:rPr>
          <w:rFonts w:cs="Arial"/>
          <w:sz w:val="20"/>
          <w:szCs w:val="20"/>
        </w:rPr>
      </w:pPr>
    </w:p>
    <w:tbl>
      <w:tblPr>
        <w:tblW w:w="0" w:type="auto"/>
        <w:tblLook w:val="04A0"/>
      </w:tblPr>
      <w:tblGrid>
        <w:gridCol w:w="3652"/>
        <w:gridCol w:w="5636"/>
      </w:tblGrid>
      <w:tr w:rsidR="003A021D" w:rsidRPr="00DA6020" w:rsidTr="00747C4B">
        <w:tc>
          <w:tcPr>
            <w:tcW w:w="9288" w:type="dxa"/>
            <w:gridSpan w:val="2"/>
          </w:tcPr>
          <w:p w:rsidR="003A021D" w:rsidRPr="0028169D" w:rsidRDefault="003A021D" w:rsidP="00747C4B">
            <w:pPr>
              <w:spacing w:line="276" w:lineRule="auto"/>
              <w:rPr>
                <w:b/>
                <w:sz w:val="20"/>
                <w:szCs w:val="16"/>
              </w:rPr>
            </w:pPr>
            <w:r>
              <w:rPr>
                <w:b/>
                <w:sz w:val="20"/>
                <w:szCs w:val="16"/>
              </w:rPr>
              <w:t>Photos :</w:t>
            </w:r>
          </w:p>
          <w:p w:rsidR="003A021D" w:rsidRPr="0028169D" w:rsidRDefault="003A021D" w:rsidP="00747C4B">
            <w:pPr>
              <w:rPr>
                <w:rFonts w:cs="Arial"/>
                <w:sz w:val="20"/>
                <w:szCs w:val="20"/>
              </w:rPr>
            </w:pPr>
            <w:r>
              <w:rPr>
                <w:sz w:val="20"/>
                <w:szCs w:val="16"/>
              </w:rPr>
              <w:t>Pour toute publication, veuillez mentionner le crédit photo.</w:t>
            </w:r>
          </w:p>
          <w:p w:rsidR="003A021D" w:rsidRPr="004C4EAE" w:rsidRDefault="003A021D" w:rsidP="00747C4B">
            <w:pPr>
              <w:spacing w:line="276" w:lineRule="auto"/>
              <w:rPr>
                <w:sz w:val="16"/>
                <w:szCs w:val="16"/>
              </w:rPr>
            </w:pPr>
          </w:p>
        </w:tc>
      </w:tr>
      <w:tr w:rsidR="003A021D" w:rsidRPr="00693B3D" w:rsidTr="003D45EF">
        <w:trPr>
          <w:trHeight w:val="1987"/>
        </w:trPr>
        <w:tc>
          <w:tcPr>
            <w:tcW w:w="3652" w:type="dxa"/>
          </w:tcPr>
          <w:p w:rsidR="003A021D" w:rsidRPr="003D45EF" w:rsidRDefault="008F0B23" w:rsidP="003D45EF">
            <w:pPr>
              <w:spacing w:line="276" w:lineRule="auto"/>
              <w:rPr>
                <w:sz w:val="16"/>
                <w:szCs w:val="16"/>
              </w:rPr>
            </w:pPr>
            <w:r>
              <w:rPr>
                <w:noProof/>
                <w:sz w:val="16"/>
                <w:szCs w:val="16"/>
                <w:lang w:val="en-US"/>
              </w:rPr>
              <w:drawing>
                <wp:inline distT="0" distB="0" distL="0" distR="0">
                  <wp:extent cx="1802765" cy="1198880"/>
                  <wp:effectExtent l="19050" t="0" r="6985" b="0"/>
                  <wp:docPr id="5" name="Bild 2" descr="K:\Public_Relations_and_Communications\Media_Relations\Medienarbeit\2017\Presseinformationen\2017-07 Kompetenz Highrise\Highpoi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07 Kompetenz Highrise\Highpoint_1.jpg"/>
                          <pic:cNvPicPr>
                            <a:picLocks noChangeAspect="1" noChangeArrowheads="1"/>
                          </pic:cNvPicPr>
                        </pic:nvPicPr>
                        <pic:blipFill>
                          <a:blip r:embed="rId9"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D41185" w:rsidRDefault="00D41185" w:rsidP="00747C4B">
            <w:pPr>
              <w:spacing w:line="276" w:lineRule="auto"/>
              <w:rPr>
                <w:sz w:val="16"/>
                <w:szCs w:val="16"/>
              </w:rPr>
            </w:pPr>
          </w:p>
          <w:p w:rsidR="00500331" w:rsidRDefault="00500331" w:rsidP="00747C4B">
            <w:pPr>
              <w:spacing w:line="276" w:lineRule="auto"/>
              <w:rPr>
                <w:sz w:val="16"/>
                <w:szCs w:val="16"/>
              </w:rPr>
            </w:pPr>
            <w:r>
              <w:rPr>
                <w:sz w:val="16"/>
                <w:szCs w:val="16"/>
              </w:rPr>
              <w:t xml:space="preserve">Le </w:t>
            </w:r>
            <w:proofErr w:type="spellStart"/>
            <w:r>
              <w:rPr>
                <w:sz w:val="16"/>
                <w:szCs w:val="16"/>
              </w:rPr>
              <w:t>Highpoint</w:t>
            </w:r>
            <w:proofErr w:type="spellEnd"/>
            <w:r>
              <w:rPr>
                <w:sz w:val="16"/>
                <w:szCs w:val="16"/>
              </w:rPr>
              <w:t xml:space="preserve"> London, qui propose plus de 450 logements locatifs, compte, avec 155 m, parmi les bâtiments les plus hauts de la ville.</w:t>
            </w:r>
          </w:p>
          <w:p w:rsidR="00500331" w:rsidRDefault="00500331" w:rsidP="00747C4B">
            <w:pPr>
              <w:spacing w:line="276" w:lineRule="auto"/>
              <w:rPr>
                <w:sz w:val="16"/>
                <w:szCs w:val="16"/>
              </w:rPr>
            </w:pPr>
          </w:p>
          <w:p w:rsidR="003A021D" w:rsidRPr="003B2CFC" w:rsidRDefault="00500331" w:rsidP="00747C4B">
            <w:pPr>
              <w:spacing w:line="276" w:lineRule="auto"/>
              <w:rPr>
                <w:sz w:val="16"/>
                <w:szCs w:val="16"/>
              </w:rPr>
            </w:pPr>
            <w:r>
              <w:rPr>
                <w:sz w:val="16"/>
                <w:szCs w:val="16"/>
              </w:rPr>
              <w:t xml:space="preserve">Photo : </w:t>
            </w:r>
            <w:proofErr w:type="spellStart"/>
            <w:r>
              <w:rPr>
                <w:sz w:val="16"/>
                <w:szCs w:val="16"/>
              </w:rPr>
              <w:t>Highpoint</w:t>
            </w:r>
            <w:proofErr w:type="spellEnd"/>
            <w:r>
              <w:rPr>
                <w:sz w:val="16"/>
                <w:szCs w:val="16"/>
              </w:rPr>
              <w:t xml:space="preserve"> London(c)Doka.jpg</w:t>
            </w:r>
          </w:p>
          <w:p w:rsidR="003A021D" w:rsidRDefault="003A021D" w:rsidP="00747C4B">
            <w:pPr>
              <w:spacing w:line="276" w:lineRule="auto"/>
              <w:rPr>
                <w:sz w:val="16"/>
                <w:szCs w:val="16"/>
              </w:rPr>
            </w:pPr>
            <w:r>
              <w:rPr>
                <w:sz w:val="16"/>
                <w:szCs w:val="16"/>
              </w:rPr>
              <w:t xml:space="preserve">Copyright: </w:t>
            </w:r>
            <w:proofErr w:type="spellStart"/>
            <w:r>
              <w:rPr>
                <w:sz w:val="16"/>
                <w:szCs w:val="16"/>
              </w:rPr>
              <w:t>Doka</w:t>
            </w:r>
            <w:proofErr w:type="spellEnd"/>
          </w:p>
          <w:p w:rsidR="008440A1" w:rsidRPr="003B2CFC" w:rsidRDefault="008440A1" w:rsidP="00747C4B">
            <w:pPr>
              <w:spacing w:line="276" w:lineRule="auto"/>
              <w:rPr>
                <w:sz w:val="16"/>
                <w:szCs w:val="16"/>
                <w:lang w:val="en-US"/>
              </w:rPr>
            </w:pPr>
          </w:p>
        </w:tc>
      </w:tr>
      <w:tr w:rsidR="003A021D" w:rsidRPr="00693B3D" w:rsidTr="00747C4B">
        <w:tc>
          <w:tcPr>
            <w:tcW w:w="3652" w:type="dxa"/>
          </w:tcPr>
          <w:p w:rsidR="003A021D" w:rsidRDefault="00235DB4" w:rsidP="00747C4B">
            <w:pPr>
              <w:spacing w:line="276" w:lineRule="auto"/>
              <w:rPr>
                <w:sz w:val="16"/>
                <w:szCs w:val="16"/>
              </w:rPr>
            </w:pPr>
            <w:r>
              <w:rPr>
                <w:noProof/>
                <w:sz w:val="16"/>
                <w:szCs w:val="16"/>
                <w:lang w:val="en-US"/>
              </w:rPr>
              <w:drawing>
                <wp:inline distT="0" distB="0" distL="0" distR="0">
                  <wp:extent cx="1203360" cy="1800000"/>
                  <wp:effectExtent l="19050" t="0" r="0" b="0"/>
                  <wp:docPr id="3" name="Bild 1" descr="C:\Users\mfuker\AppData\Local\Microsoft\Windows\Temporary Internet Files\Content.Word\Tour la Marseilla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fuker\AppData\Local\Microsoft\Windows\Temporary Internet Files\Content.Word\Tour la Marseillaise.jpg"/>
                          <pic:cNvPicPr>
                            <a:picLocks noChangeAspect="1" noChangeArrowheads="1"/>
                          </pic:cNvPicPr>
                        </pic:nvPicPr>
                        <pic:blipFill>
                          <a:blip r:embed="rId10" cstate="print"/>
                          <a:srcRect/>
                          <a:stretch>
                            <a:fillRect/>
                          </a:stretch>
                        </pic:blipFill>
                        <pic:spPr bwMode="auto">
                          <a:xfrm>
                            <a:off x="0" y="0"/>
                            <a:ext cx="1203360" cy="1800000"/>
                          </a:xfrm>
                          <a:prstGeom prst="rect">
                            <a:avLst/>
                          </a:prstGeom>
                          <a:noFill/>
                          <a:ln w="9525">
                            <a:noFill/>
                            <a:miter lim="800000"/>
                            <a:headEnd/>
                            <a:tailEnd/>
                          </a:ln>
                        </pic:spPr>
                      </pic:pic>
                    </a:graphicData>
                  </a:graphic>
                </wp:inline>
              </w:drawing>
            </w:r>
          </w:p>
        </w:tc>
        <w:tc>
          <w:tcPr>
            <w:tcW w:w="5636" w:type="dxa"/>
          </w:tcPr>
          <w:p w:rsidR="008C0D53" w:rsidRDefault="008C0D53" w:rsidP="000D7B0A">
            <w:pPr>
              <w:rPr>
                <w:sz w:val="16"/>
                <w:szCs w:val="16"/>
              </w:rPr>
            </w:pPr>
          </w:p>
          <w:p w:rsidR="000D7B0A" w:rsidRPr="00C73585" w:rsidRDefault="000D7B0A" w:rsidP="000D7B0A">
            <w:pPr>
              <w:rPr>
                <w:sz w:val="16"/>
              </w:rPr>
            </w:pPr>
            <w:r>
              <w:rPr>
                <w:sz w:val="16"/>
              </w:rPr>
              <w:t xml:space="preserve">Avec la Tour la Marseillaise, édifice de bureaux de 135 m de haut, un nouvel emblème architectonique s’ajoute à la </w:t>
            </w:r>
            <w:proofErr w:type="spellStart"/>
            <w:r>
              <w:rPr>
                <w:sz w:val="16"/>
              </w:rPr>
              <w:t>skyline</w:t>
            </w:r>
            <w:proofErr w:type="spellEnd"/>
            <w:r>
              <w:rPr>
                <w:sz w:val="16"/>
              </w:rPr>
              <w:t xml:space="preserve"> phocéenne. </w:t>
            </w:r>
          </w:p>
          <w:p w:rsidR="000D7B0A" w:rsidRPr="00C73585" w:rsidRDefault="000D7B0A" w:rsidP="000D7B0A">
            <w:pPr>
              <w:rPr>
                <w:sz w:val="16"/>
              </w:rPr>
            </w:pPr>
          </w:p>
          <w:p w:rsidR="000D7B0A" w:rsidRPr="002831DA" w:rsidRDefault="000D7B0A" w:rsidP="000D7B0A">
            <w:pPr>
              <w:rPr>
                <w:sz w:val="16"/>
              </w:rPr>
            </w:pPr>
            <w:r>
              <w:rPr>
                <w:sz w:val="16"/>
              </w:rPr>
              <w:t>Photo : Tour la Marseillaise(c)Doka.jpg</w:t>
            </w:r>
          </w:p>
          <w:p w:rsidR="003A021D" w:rsidRPr="008C0D53" w:rsidRDefault="000D7B0A" w:rsidP="008C0D53">
            <w:pPr>
              <w:rPr>
                <w:sz w:val="16"/>
              </w:rPr>
            </w:pPr>
            <w:r>
              <w:rPr>
                <w:sz w:val="16"/>
              </w:rPr>
              <w:t xml:space="preserve">Copyright: </w:t>
            </w:r>
            <w:proofErr w:type="spellStart"/>
            <w:r>
              <w:rPr>
                <w:sz w:val="16"/>
              </w:rPr>
              <w:t>Doka</w:t>
            </w:r>
            <w:proofErr w:type="spellEnd"/>
          </w:p>
        </w:tc>
      </w:tr>
      <w:tr w:rsidR="000D7B0A" w:rsidRPr="003C37F4" w:rsidTr="00747C4B">
        <w:tc>
          <w:tcPr>
            <w:tcW w:w="3652" w:type="dxa"/>
          </w:tcPr>
          <w:p w:rsidR="000D7B0A" w:rsidRDefault="008F0B23" w:rsidP="00747C4B">
            <w:pPr>
              <w:spacing w:line="276" w:lineRule="auto"/>
              <w:rPr>
                <w:noProof/>
                <w:sz w:val="16"/>
                <w:szCs w:val="16"/>
              </w:rPr>
            </w:pPr>
            <w:r>
              <w:rPr>
                <w:noProof/>
                <w:sz w:val="16"/>
                <w:szCs w:val="16"/>
                <w:lang w:val="en-US"/>
              </w:rPr>
              <w:drawing>
                <wp:inline distT="0" distB="0" distL="0" distR="0">
                  <wp:extent cx="1198880" cy="1802765"/>
                  <wp:effectExtent l="19050" t="0" r="1270" b="0"/>
                  <wp:docPr id="6" name="Bild 3" descr="K:\Public_Relations_and_Communications\Media_Relations\Medienarbeit\2017\Presseinformationen\2017-07 Kompetenz Highrise\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Intercontinental.jpg"/>
                          <pic:cNvPicPr>
                            <a:picLocks noChangeAspect="1" noChangeArrowheads="1"/>
                          </pic:cNvPicPr>
                        </pic:nvPicPr>
                        <pic:blipFill>
                          <a:blip r:embed="rId11" cstate="print"/>
                          <a:srcRect/>
                          <a:stretch>
                            <a:fillRect/>
                          </a:stretch>
                        </pic:blipFill>
                        <pic:spPr bwMode="auto">
                          <a:xfrm>
                            <a:off x="0" y="0"/>
                            <a:ext cx="1198880" cy="1802765"/>
                          </a:xfrm>
                          <a:prstGeom prst="rect">
                            <a:avLst/>
                          </a:prstGeom>
                          <a:noFill/>
                          <a:ln w="9525">
                            <a:noFill/>
                            <a:miter lim="800000"/>
                            <a:headEnd/>
                            <a:tailEnd/>
                          </a:ln>
                        </pic:spPr>
                      </pic:pic>
                    </a:graphicData>
                  </a:graphic>
                </wp:inline>
              </w:drawing>
            </w:r>
          </w:p>
        </w:tc>
        <w:tc>
          <w:tcPr>
            <w:tcW w:w="5636" w:type="dxa"/>
          </w:tcPr>
          <w:p w:rsidR="000D7B0A" w:rsidRDefault="000D7B0A" w:rsidP="00747C4B">
            <w:pPr>
              <w:spacing w:line="276" w:lineRule="auto"/>
              <w:rPr>
                <w:sz w:val="16"/>
                <w:szCs w:val="16"/>
              </w:rPr>
            </w:pPr>
          </w:p>
          <w:p w:rsidR="00EB04F6" w:rsidRDefault="00EB04F6" w:rsidP="00747C4B">
            <w:pPr>
              <w:spacing w:line="276" w:lineRule="auto"/>
              <w:rPr>
                <w:sz w:val="16"/>
                <w:szCs w:val="16"/>
              </w:rPr>
            </w:pPr>
            <w:r>
              <w:rPr>
                <w:sz w:val="16"/>
                <w:szCs w:val="16"/>
              </w:rPr>
              <w:t>L’Intercontinental à Ljubljana est non seulement le premier hôtel 5 étoiles de la ville, mais compte également, avec 81 m, parmi les édifices les plus élevés de Ljubljana.</w:t>
            </w:r>
          </w:p>
          <w:p w:rsidR="00EB04F6" w:rsidRDefault="00EB04F6" w:rsidP="00747C4B">
            <w:pPr>
              <w:spacing w:line="276" w:lineRule="auto"/>
              <w:rPr>
                <w:sz w:val="16"/>
                <w:szCs w:val="16"/>
              </w:rPr>
            </w:pPr>
          </w:p>
          <w:p w:rsidR="003C37F4" w:rsidRDefault="00EB04F6" w:rsidP="00747C4B">
            <w:pPr>
              <w:spacing w:line="276" w:lineRule="auto"/>
              <w:rPr>
                <w:bCs/>
                <w:color w:val="auto"/>
                <w:sz w:val="16"/>
                <w:szCs w:val="16"/>
              </w:rPr>
            </w:pPr>
            <w:r>
              <w:rPr>
                <w:sz w:val="16"/>
                <w:szCs w:val="16"/>
              </w:rPr>
              <w:t xml:space="preserve">Photo : </w:t>
            </w:r>
            <w:proofErr w:type="spellStart"/>
            <w:r>
              <w:rPr>
                <w:sz w:val="16"/>
                <w:szCs w:val="16"/>
              </w:rPr>
              <w:t>Hotel</w:t>
            </w:r>
            <w:proofErr w:type="spellEnd"/>
            <w:r>
              <w:rPr>
                <w:sz w:val="16"/>
                <w:szCs w:val="16"/>
              </w:rPr>
              <w:t xml:space="preserve"> Intercontinental(c)Doka.jpg</w:t>
            </w:r>
            <w:r>
              <w:rPr>
                <w:bCs/>
                <w:color w:val="auto"/>
                <w:sz w:val="16"/>
                <w:szCs w:val="16"/>
              </w:rPr>
              <w:t xml:space="preserve"> </w:t>
            </w:r>
          </w:p>
          <w:p w:rsidR="00EB04F6" w:rsidRPr="003C37F4" w:rsidRDefault="003C37F4" w:rsidP="00747C4B">
            <w:pPr>
              <w:spacing w:line="276" w:lineRule="auto"/>
              <w:rPr>
                <w:sz w:val="16"/>
                <w:szCs w:val="16"/>
              </w:rPr>
            </w:pPr>
            <w:r>
              <w:rPr>
                <w:bCs/>
                <w:color w:val="auto"/>
                <w:sz w:val="16"/>
                <w:szCs w:val="16"/>
              </w:rPr>
              <w:t xml:space="preserve">Entrepreneur en bâtiment : CGP </w:t>
            </w:r>
            <w:proofErr w:type="spellStart"/>
            <w:r>
              <w:rPr>
                <w:bCs/>
                <w:color w:val="auto"/>
                <w:sz w:val="16"/>
                <w:szCs w:val="16"/>
              </w:rPr>
              <w:t>d.d</w:t>
            </w:r>
            <w:proofErr w:type="spellEnd"/>
            <w:r>
              <w:rPr>
                <w:bCs/>
                <w:color w:val="auto"/>
                <w:sz w:val="16"/>
                <w:szCs w:val="16"/>
              </w:rPr>
              <w:t xml:space="preserve">. Novo </w:t>
            </w:r>
            <w:proofErr w:type="spellStart"/>
            <w:r>
              <w:rPr>
                <w:bCs/>
                <w:color w:val="auto"/>
                <w:sz w:val="16"/>
                <w:szCs w:val="16"/>
              </w:rPr>
              <w:t>mesto</w:t>
            </w:r>
            <w:proofErr w:type="spellEnd"/>
          </w:p>
          <w:p w:rsidR="00EB04F6" w:rsidRPr="003C37F4" w:rsidRDefault="00EB04F6" w:rsidP="00747C4B">
            <w:pPr>
              <w:spacing w:line="276" w:lineRule="auto"/>
              <w:rPr>
                <w:color w:val="auto"/>
                <w:sz w:val="16"/>
                <w:szCs w:val="16"/>
              </w:rPr>
            </w:pPr>
            <w:r>
              <w:rPr>
                <w:sz w:val="16"/>
                <w:szCs w:val="16"/>
              </w:rPr>
              <w:t xml:space="preserve">Copyright: </w:t>
            </w:r>
            <w:proofErr w:type="spellStart"/>
            <w:r>
              <w:rPr>
                <w:sz w:val="16"/>
                <w:szCs w:val="16"/>
              </w:rPr>
              <w:t>Doka</w:t>
            </w:r>
            <w:proofErr w:type="spellEnd"/>
          </w:p>
          <w:p w:rsidR="003C37F4" w:rsidRPr="003C37F4" w:rsidRDefault="003C37F4" w:rsidP="00747C4B">
            <w:pPr>
              <w:spacing w:line="276" w:lineRule="auto"/>
              <w:rPr>
                <w:sz w:val="16"/>
                <w:szCs w:val="16"/>
                <w:lang w:val="en-US"/>
              </w:rPr>
            </w:pPr>
          </w:p>
        </w:tc>
      </w:tr>
      <w:tr w:rsidR="00FC2542" w:rsidRPr="00C35E5B" w:rsidTr="00747C4B">
        <w:tc>
          <w:tcPr>
            <w:tcW w:w="3652" w:type="dxa"/>
          </w:tcPr>
          <w:p w:rsidR="00994A9D" w:rsidRPr="00E57807" w:rsidRDefault="008E35E0" w:rsidP="00747C4B">
            <w:pPr>
              <w:spacing w:line="276" w:lineRule="auto"/>
              <w:rPr>
                <w:sz w:val="16"/>
                <w:szCs w:val="16"/>
              </w:rPr>
            </w:pPr>
            <w:r>
              <w:rPr>
                <w:noProof/>
                <w:sz w:val="16"/>
                <w:szCs w:val="16"/>
                <w:lang w:val="en-US"/>
              </w:rPr>
              <w:drawing>
                <wp:inline distT="0" distB="0" distL="0" distR="0">
                  <wp:extent cx="1200785" cy="1804670"/>
                  <wp:effectExtent l="19050" t="0" r="0" b="0"/>
                  <wp:docPr id="1" name="Bild 1" descr="K:\Public_Relations_and_Communications\Media_Relations\Medienarbeit\2017\Presseinformationen\2017-07 Kompetenz Highrise\Fotos\Fotos Word\Doka_2016-01_GEWA-Tower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7\Presseinformationen\2017-07 Kompetenz Highrise\Fotos\Fotos Word\Doka_2016-01_GEWA-Tower_IMG02.jpg"/>
                          <pic:cNvPicPr>
                            <a:picLocks noChangeAspect="1" noChangeArrowheads="1"/>
                          </pic:cNvPicPr>
                        </pic:nvPicPr>
                        <pic:blipFill>
                          <a:blip r:embed="rId12" cstate="print"/>
                          <a:srcRect/>
                          <a:stretch>
                            <a:fillRect/>
                          </a:stretch>
                        </pic:blipFill>
                        <pic:spPr bwMode="auto">
                          <a:xfrm>
                            <a:off x="0" y="0"/>
                            <a:ext cx="1200785" cy="1804670"/>
                          </a:xfrm>
                          <a:prstGeom prst="rect">
                            <a:avLst/>
                          </a:prstGeom>
                          <a:noFill/>
                          <a:ln w="9525">
                            <a:noFill/>
                            <a:miter lim="800000"/>
                            <a:headEnd/>
                            <a:tailEnd/>
                          </a:ln>
                        </pic:spPr>
                      </pic:pic>
                    </a:graphicData>
                  </a:graphic>
                </wp:inline>
              </w:drawing>
            </w:r>
          </w:p>
        </w:tc>
        <w:tc>
          <w:tcPr>
            <w:tcW w:w="5636" w:type="dxa"/>
          </w:tcPr>
          <w:p w:rsidR="008E35E0" w:rsidRDefault="008E35E0" w:rsidP="00C35E5B">
            <w:pPr>
              <w:spacing w:line="276" w:lineRule="auto"/>
              <w:rPr>
                <w:sz w:val="16"/>
                <w:szCs w:val="16"/>
              </w:rPr>
            </w:pPr>
          </w:p>
          <w:p w:rsidR="00FC2542" w:rsidRDefault="00C35E5B" w:rsidP="00C35E5B">
            <w:pPr>
              <w:spacing w:line="276" w:lineRule="auto"/>
              <w:rPr>
                <w:sz w:val="16"/>
                <w:szCs w:val="16"/>
              </w:rPr>
            </w:pPr>
            <w:r>
              <w:rPr>
                <w:sz w:val="16"/>
                <w:szCs w:val="16"/>
              </w:rPr>
              <w:t xml:space="preserve">La GEWA </w:t>
            </w:r>
            <w:proofErr w:type="spellStart"/>
            <w:r>
              <w:rPr>
                <w:sz w:val="16"/>
                <w:szCs w:val="16"/>
              </w:rPr>
              <w:t>Tower</w:t>
            </w:r>
            <w:proofErr w:type="spellEnd"/>
            <w:r>
              <w:rPr>
                <w:sz w:val="16"/>
                <w:szCs w:val="16"/>
              </w:rPr>
              <w:t xml:space="preserve"> à </w:t>
            </w:r>
            <w:proofErr w:type="spellStart"/>
            <w:r>
              <w:rPr>
                <w:sz w:val="16"/>
                <w:szCs w:val="16"/>
              </w:rPr>
              <w:t>Fellbach</w:t>
            </w:r>
            <w:proofErr w:type="spellEnd"/>
            <w:r>
              <w:rPr>
                <w:sz w:val="16"/>
                <w:szCs w:val="16"/>
              </w:rPr>
              <w:t xml:space="preserve"> près de Stuttgart est l’édifice résidentiel le plus élevé du Bade-Wurtemberg. Avec 107 m, c’est le troisième plus haut édifice résidentiel d’Allemagne.</w:t>
            </w:r>
          </w:p>
          <w:p w:rsidR="008E35E0" w:rsidRDefault="008E35E0" w:rsidP="00C35E5B">
            <w:pPr>
              <w:spacing w:line="276" w:lineRule="auto"/>
              <w:rPr>
                <w:sz w:val="16"/>
                <w:szCs w:val="16"/>
              </w:rPr>
            </w:pPr>
          </w:p>
          <w:p w:rsidR="008E35E0" w:rsidRDefault="008E35E0" w:rsidP="00C35E5B">
            <w:pPr>
              <w:spacing w:line="276" w:lineRule="auto"/>
              <w:rPr>
                <w:sz w:val="16"/>
                <w:szCs w:val="16"/>
              </w:rPr>
            </w:pPr>
          </w:p>
          <w:p w:rsidR="008E35E0" w:rsidRPr="007A694E" w:rsidRDefault="008E35E0" w:rsidP="008E35E0">
            <w:pPr>
              <w:rPr>
                <w:sz w:val="16"/>
              </w:rPr>
            </w:pPr>
            <w:r>
              <w:rPr>
                <w:sz w:val="16"/>
              </w:rPr>
              <w:t>Photo : GEWA-Tower(c)Doka.jpg</w:t>
            </w:r>
          </w:p>
          <w:p w:rsidR="008E35E0" w:rsidRDefault="008E35E0" w:rsidP="008E35E0">
            <w:pPr>
              <w:spacing w:line="276" w:lineRule="auto"/>
              <w:rPr>
                <w:sz w:val="16"/>
                <w:szCs w:val="16"/>
              </w:rPr>
            </w:pPr>
            <w:r>
              <w:rPr>
                <w:sz w:val="16"/>
              </w:rPr>
              <w:t xml:space="preserve">Copyright: </w:t>
            </w:r>
            <w:proofErr w:type="spellStart"/>
            <w:r>
              <w:rPr>
                <w:sz w:val="16"/>
              </w:rPr>
              <w:t>Doka</w:t>
            </w:r>
            <w:proofErr w:type="spellEnd"/>
          </w:p>
        </w:tc>
      </w:tr>
      <w:tr w:rsidR="003A021D" w:rsidRPr="00693B3D" w:rsidTr="00747C4B">
        <w:tc>
          <w:tcPr>
            <w:tcW w:w="3652" w:type="dxa"/>
          </w:tcPr>
          <w:p w:rsidR="003A021D" w:rsidRDefault="00235DB4" w:rsidP="00747C4B">
            <w:pPr>
              <w:spacing w:line="276" w:lineRule="auto"/>
              <w:rPr>
                <w:noProof/>
                <w:sz w:val="16"/>
                <w:szCs w:val="16"/>
              </w:rPr>
            </w:pPr>
            <w:r>
              <w:rPr>
                <w:noProof/>
                <w:sz w:val="16"/>
                <w:szCs w:val="16"/>
                <w:lang w:val="en-US"/>
              </w:rPr>
              <w:lastRenderedPageBreak/>
              <w:drawing>
                <wp:inline distT="0" distB="0" distL="0" distR="0">
                  <wp:extent cx="1954530" cy="1303020"/>
                  <wp:effectExtent l="0" t="0" r="0" b="0"/>
                  <wp:docPr id="4" name="Grafik 1" descr="C:\Users\preidl\AppData\Local\Microsoft\Windows\INetCache\Content.Word\Central Park South (3)(c)AignerManf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idl\AppData\Local\Microsoft\Windows\INetCache\Content.Word\Central Park South (3)(c)AignerManfred.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54530" cy="1303020"/>
                          </a:xfrm>
                          <a:prstGeom prst="rect">
                            <a:avLst/>
                          </a:prstGeom>
                          <a:noFill/>
                          <a:ln>
                            <a:noFill/>
                          </a:ln>
                        </pic:spPr>
                      </pic:pic>
                    </a:graphicData>
                  </a:graphic>
                </wp:inline>
              </w:drawing>
            </w:r>
            <w:r>
              <w:rPr>
                <w:sz w:val="16"/>
                <w:szCs w:val="16"/>
              </w:rPr>
              <w:t xml:space="preserve">                                                                                                                                                                                                                                                                                                                                                                                                                                                                                                                                                                                                        </w:t>
            </w:r>
          </w:p>
        </w:tc>
        <w:tc>
          <w:tcPr>
            <w:tcW w:w="5636" w:type="dxa"/>
          </w:tcPr>
          <w:p w:rsidR="003A021D" w:rsidRDefault="003A021D" w:rsidP="00747C4B">
            <w:pPr>
              <w:spacing w:line="276" w:lineRule="auto"/>
              <w:rPr>
                <w:sz w:val="16"/>
                <w:szCs w:val="16"/>
              </w:rPr>
            </w:pPr>
          </w:p>
          <w:p w:rsidR="000D7B0A" w:rsidRDefault="00573B10" w:rsidP="00573B10">
            <w:pPr>
              <w:spacing w:line="276" w:lineRule="auto"/>
              <w:rPr>
                <w:bCs/>
                <w:sz w:val="16"/>
                <w:szCs w:val="16"/>
              </w:rPr>
            </w:pPr>
            <w:r>
              <w:rPr>
                <w:bCs/>
                <w:sz w:val="16"/>
                <w:szCs w:val="16"/>
              </w:rPr>
              <w:t>Avec 472 mètres, la Central Park Tower à New York est l’édifice résidentiel le plus élevé au monde et offrira à l’avenir des vues spectaculaires sur la ville et les environs.</w:t>
            </w:r>
          </w:p>
          <w:p w:rsidR="00573B10" w:rsidRPr="00747C4B" w:rsidRDefault="00573B10" w:rsidP="00573B10">
            <w:pPr>
              <w:spacing w:line="276" w:lineRule="auto"/>
              <w:rPr>
                <w:bCs/>
                <w:sz w:val="16"/>
                <w:szCs w:val="16"/>
              </w:rPr>
            </w:pPr>
          </w:p>
          <w:p w:rsidR="00747C4B" w:rsidRPr="00994A9D" w:rsidRDefault="00747C4B" w:rsidP="00747C4B">
            <w:pPr>
              <w:spacing w:line="276" w:lineRule="auto"/>
              <w:rPr>
                <w:sz w:val="16"/>
                <w:szCs w:val="16"/>
              </w:rPr>
            </w:pPr>
            <w:r>
              <w:rPr>
                <w:sz w:val="16"/>
                <w:szCs w:val="16"/>
              </w:rPr>
              <w:t xml:space="preserve">Photo : </w:t>
            </w:r>
            <w:r>
              <w:rPr>
                <w:bCs/>
                <w:sz w:val="16"/>
                <w:szCs w:val="16"/>
              </w:rPr>
              <w:t>Central Park Tower</w:t>
            </w:r>
            <w:r>
              <w:rPr>
                <w:sz w:val="16"/>
              </w:rPr>
              <w:t>(c)</w:t>
            </w:r>
            <w:r>
              <w:rPr>
                <w:bCs/>
                <w:sz w:val="16"/>
                <w:szCs w:val="16"/>
              </w:rPr>
              <w:t>Doka.jpg</w:t>
            </w:r>
          </w:p>
          <w:p w:rsidR="00747C4B" w:rsidRPr="00747C4B" w:rsidRDefault="00747C4B" w:rsidP="00747C4B">
            <w:pPr>
              <w:spacing w:line="276" w:lineRule="auto"/>
              <w:rPr>
                <w:sz w:val="16"/>
                <w:szCs w:val="16"/>
              </w:rPr>
            </w:pPr>
            <w:r>
              <w:rPr>
                <w:sz w:val="16"/>
                <w:szCs w:val="16"/>
              </w:rPr>
              <w:t xml:space="preserve">Copyright: </w:t>
            </w:r>
            <w:proofErr w:type="spellStart"/>
            <w:r>
              <w:rPr>
                <w:sz w:val="16"/>
                <w:szCs w:val="16"/>
              </w:rPr>
              <w:t>Doka</w:t>
            </w:r>
            <w:proofErr w:type="spellEnd"/>
            <w:r>
              <w:rPr>
                <w:sz w:val="16"/>
                <w:szCs w:val="16"/>
              </w:rPr>
              <w:t xml:space="preserve"> </w:t>
            </w:r>
            <w:proofErr w:type="spellStart"/>
            <w:r>
              <w:rPr>
                <w:sz w:val="16"/>
                <w:szCs w:val="16"/>
              </w:rPr>
              <w:t>GmbH</w:t>
            </w:r>
            <w:proofErr w:type="spellEnd"/>
          </w:p>
          <w:p w:rsidR="003A021D" w:rsidRPr="00DA6020" w:rsidRDefault="003A021D" w:rsidP="00747C4B">
            <w:pPr>
              <w:spacing w:line="276" w:lineRule="auto"/>
              <w:rPr>
                <w:sz w:val="16"/>
                <w:szCs w:val="16"/>
                <w:lang w:val="en-US"/>
              </w:rPr>
            </w:pPr>
          </w:p>
        </w:tc>
      </w:tr>
      <w:tr w:rsidR="00244453" w:rsidRPr="00747788" w:rsidTr="00747C4B">
        <w:tc>
          <w:tcPr>
            <w:tcW w:w="3652" w:type="dxa"/>
          </w:tcPr>
          <w:p w:rsidR="00BF381F" w:rsidRPr="00235DB4" w:rsidRDefault="00A200DC" w:rsidP="00747C4B">
            <w:pPr>
              <w:spacing w:line="276" w:lineRule="auto"/>
              <w:rPr>
                <w:noProof/>
                <w:sz w:val="16"/>
                <w:szCs w:val="16"/>
              </w:rPr>
            </w:pPr>
            <w:r>
              <w:rPr>
                <w:noProof/>
                <w:sz w:val="16"/>
                <w:szCs w:val="16"/>
                <w:lang w:val="en-US"/>
              </w:rPr>
              <w:drawing>
                <wp:inline distT="0" distB="0" distL="0" distR="0">
                  <wp:extent cx="1800000" cy="1196949"/>
                  <wp:effectExtent l="19050" t="0" r="0" b="0"/>
                  <wp:docPr id="9" name="Bild 3" descr="K:\Public_Relations_and_Communications\Media_Relations\Medienarbeit\2017\Presseinformationen\2017-07 Kompetenz Highrise\Foto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Fotos\IMG_9222.JPG"/>
                          <pic:cNvPicPr>
                            <a:picLocks noChangeAspect="1" noChangeArrowheads="1"/>
                          </pic:cNvPicPr>
                        </pic:nvPicPr>
                        <pic:blipFill>
                          <a:blip r:embed="rId14" cstate="print"/>
                          <a:srcRect/>
                          <a:stretch>
                            <a:fillRect/>
                          </a:stretch>
                        </pic:blipFill>
                        <pic:spPr bwMode="auto">
                          <a:xfrm>
                            <a:off x="0" y="0"/>
                            <a:ext cx="1800000" cy="1196949"/>
                          </a:xfrm>
                          <a:prstGeom prst="rect">
                            <a:avLst/>
                          </a:prstGeom>
                          <a:noFill/>
                          <a:ln w="9525">
                            <a:noFill/>
                            <a:miter lim="800000"/>
                            <a:headEnd/>
                            <a:tailEnd/>
                          </a:ln>
                        </pic:spPr>
                      </pic:pic>
                    </a:graphicData>
                  </a:graphic>
                </wp:inline>
              </w:drawing>
            </w:r>
          </w:p>
        </w:tc>
        <w:tc>
          <w:tcPr>
            <w:tcW w:w="5636" w:type="dxa"/>
          </w:tcPr>
          <w:p w:rsidR="00385AA2" w:rsidRDefault="00385AA2" w:rsidP="00385AA2">
            <w:pPr>
              <w:spacing w:line="276" w:lineRule="auto"/>
              <w:rPr>
                <w:sz w:val="16"/>
                <w:szCs w:val="16"/>
              </w:rPr>
            </w:pPr>
          </w:p>
          <w:p w:rsidR="00385AA2" w:rsidRPr="00385AA2" w:rsidRDefault="00385AA2" w:rsidP="00385AA2">
            <w:pPr>
              <w:spacing w:line="276" w:lineRule="auto"/>
              <w:rPr>
                <w:sz w:val="16"/>
                <w:szCs w:val="16"/>
              </w:rPr>
            </w:pPr>
            <w:r>
              <w:rPr>
                <w:sz w:val="16"/>
                <w:szCs w:val="16"/>
              </w:rPr>
              <w:t>La ligne d’horizon de Kuala Lumpur se dote, avec l’Exchange 106, d’un nouveau bijou architectural. Avec 492 m, l’édifice sera l’un des plus hauts d’Asie.</w:t>
            </w:r>
          </w:p>
          <w:p w:rsidR="00244453" w:rsidRPr="00BF381F" w:rsidRDefault="00244453" w:rsidP="00385AA2">
            <w:pPr>
              <w:spacing w:line="276" w:lineRule="auto"/>
              <w:rPr>
                <w:sz w:val="16"/>
                <w:szCs w:val="16"/>
              </w:rPr>
            </w:pPr>
          </w:p>
          <w:p w:rsidR="00385AA2" w:rsidRPr="00DA6020" w:rsidRDefault="00BF381F" w:rsidP="00385AA2">
            <w:pPr>
              <w:spacing w:line="276" w:lineRule="auto"/>
              <w:rPr>
                <w:sz w:val="16"/>
                <w:szCs w:val="16"/>
              </w:rPr>
            </w:pPr>
            <w:r>
              <w:rPr>
                <w:sz w:val="16"/>
                <w:szCs w:val="16"/>
              </w:rPr>
              <w:t>Photo : The Exchange 106</w:t>
            </w:r>
            <w:r>
              <w:rPr>
                <w:sz w:val="16"/>
              </w:rPr>
              <w:t>(c)</w:t>
            </w:r>
            <w:r>
              <w:rPr>
                <w:sz w:val="16"/>
                <w:szCs w:val="16"/>
              </w:rPr>
              <w:t>Doka.jpg</w:t>
            </w:r>
          </w:p>
          <w:p w:rsidR="00385AA2" w:rsidRPr="00DA6020" w:rsidRDefault="00385AA2" w:rsidP="00385AA2">
            <w:pPr>
              <w:spacing w:line="276" w:lineRule="auto"/>
              <w:rPr>
                <w:sz w:val="16"/>
                <w:szCs w:val="16"/>
              </w:rPr>
            </w:pPr>
            <w:r>
              <w:rPr>
                <w:sz w:val="16"/>
              </w:rPr>
              <w:t xml:space="preserve">Copyright: </w:t>
            </w:r>
            <w:proofErr w:type="spellStart"/>
            <w:r>
              <w:rPr>
                <w:sz w:val="16"/>
              </w:rPr>
              <w:t>Doka</w:t>
            </w:r>
            <w:proofErr w:type="spellEnd"/>
            <w:r>
              <w:rPr>
                <w:sz w:val="16"/>
              </w:rPr>
              <w:t xml:space="preserve"> </w:t>
            </w:r>
            <w:proofErr w:type="spellStart"/>
            <w:r>
              <w:rPr>
                <w:sz w:val="16"/>
              </w:rPr>
              <w:t>GmbH</w:t>
            </w:r>
            <w:proofErr w:type="spellEnd"/>
          </w:p>
          <w:p w:rsidR="00385AA2" w:rsidRDefault="00385AA2" w:rsidP="00385AA2">
            <w:pPr>
              <w:spacing w:line="276" w:lineRule="auto"/>
              <w:rPr>
                <w:sz w:val="16"/>
                <w:szCs w:val="16"/>
                <w:lang w:val="en-US"/>
              </w:rPr>
            </w:pPr>
          </w:p>
          <w:p w:rsidR="00385AA2" w:rsidRPr="00385AA2" w:rsidRDefault="00385AA2" w:rsidP="00385AA2">
            <w:pPr>
              <w:spacing w:line="276" w:lineRule="auto"/>
              <w:rPr>
                <w:sz w:val="16"/>
                <w:szCs w:val="16"/>
                <w:lang w:val="en-US"/>
              </w:rPr>
            </w:pPr>
          </w:p>
        </w:tc>
      </w:tr>
      <w:tr w:rsidR="003A021D" w:rsidRPr="003F36FE" w:rsidTr="00747C4B">
        <w:tc>
          <w:tcPr>
            <w:tcW w:w="3652" w:type="dxa"/>
          </w:tcPr>
          <w:p w:rsidR="003A021D" w:rsidRPr="000D7B0A" w:rsidRDefault="00D06BAD" w:rsidP="00747C4B">
            <w:pPr>
              <w:spacing w:line="276" w:lineRule="auto"/>
              <w:rPr>
                <w:noProof/>
                <w:sz w:val="16"/>
                <w:szCs w:val="16"/>
              </w:rPr>
            </w:pPr>
            <w:r>
              <w:rPr>
                <w:noProof/>
                <w:sz w:val="16"/>
                <w:szCs w:val="16"/>
                <w:lang w:val="en-US"/>
              </w:rPr>
              <w:drawing>
                <wp:inline distT="0" distB="0" distL="0" distR="0">
                  <wp:extent cx="1802765" cy="1198880"/>
                  <wp:effectExtent l="19050" t="0" r="6985" b="0"/>
                  <wp:docPr id="7" name="Bild 4" descr="K:\Public_Relations_and_Communications\Media_Relations\Medienarbeit\2017\Presseinformationen\2017-07 Kompetenz Highrise\Fotos\Fotos Word\The Hills Dub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c_Relations_and_Communications\Media_Relations\Medienarbeit\2017\Presseinformationen\2017-07 Kompetenz Highrise\Fotos\Fotos Word\The Hills Dubai.jpg"/>
                          <pic:cNvPicPr>
                            <a:picLocks noChangeAspect="1" noChangeArrowheads="1"/>
                          </pic:cNvPicPr>
                        </pic:nvPicPr>
                        <pic:blipFill>
                          <a:blip r:embed="rId15"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357964" w:rsidRDefault="00357964" w:rsidP="006775AD">
            <w:pPr>
              <w:spacing w:line="276" w:lineRule="auto"/>
              <w:rPr>
                <w:sz w:val="16"/>
                <w:szCs w:val="16"/>
                <w:lang w:val="en-US"/>
              </w:rPr>
            </w:pPr>
          </w:p>
          <w:p w:rsidR="003A021D" w:rsidRPr="006775AD" w:rsidRDefault="006775AD" w:rsidP="006775AD">
            <w:pPr>
              <w:spacing w:line="276" w:lineRule="auto"/>
              <w:rPr>
                <w:sz w:val="16"/>
                <w:szCs w:val="16"/>
              </w:rPr>
            </w:pPr>
            <w:r>
              <w:rPr>
                <w:sz w:val="16"/>
                <w:szCs w:val="16"/>
              </w:rPr>
              <w:t>Au niveau du bord sud-ouest de l’</w:t>
            </w:r>
            <w:proofErr w:type="spellStart"/>
            <w:r>
              <w:rPr>
                <w:sz w:val="16"/>
                <w:szCs w:val="16"/>
              </w:rPr>
              <w:t>Emirates</w:t>
            </w:r>
            <w:proofErr w:type="spellEnd"/>
            <w:r>
              <w:rPr>
                <w:sz w:val="16"/>
                <w:szCs w:val="16"/>
              </w:rPr>
              <w:t xml:space="preserve"> Golf Club à Dubaï, le complexe résidentiel de luxe « The </w:t>
            </w:r>
            <w:proofErr w:type="spellStart"/>
            <w:r>
              <w:rPr>
                <w:sz w:val="16"/>
                <w:szCs w:val="16"/>
              </w:rPr>
              <w:t>Hills</w:t>
            </w:r>
            <w:proofErr w:type="spellEnd"/>
            <w:r>
              <w:rPr>
                <w:sz w:val="16"/>
                <w:szCs w:val="16"/>
              </w:rPr>
              <w:t> » est en train de voir le jour.</w:t>
            </w:r>
          </w:p>
          <w:p w:rsidR="003A021D" w:rsidRPr="006775AD" w:rsidRDefault="003A021D" w:rsidP="00747C4B">
            <w:pPr>
              <w:spacing w:line="276" w:lineRule="auto"/>
              <w:rPr>
                <w:sz w:val="16"/>
                <w:szCs w:val="16"/>
              </w:rPr>
            </w:pPr>
          </w:p>
          <w:p w:rsidR="003A021D" w:rsidRPr="00DA6020" w:rsidRDefault="00F01680" w:rsidP="00747C4B">
            <w:pPr>
              <w:spacing w:line="276" w:lineRule="auto"/>
              <w:rPr>
                <w:sz w:val="16"/>
                <w:szCs w:val="16"/>
              </w:rPr>
            </w:pPr>
            <w:r>
              <w:rPr>
                <w:sz w:val="16"/>
                <w:szCs w:val="16"/>
              </w:rPr>
              <w:t>Photo : The Hills</w:t>
            </w:r>
            <w:r>
              <w:rPr>
                <w:sz w:val="16"/>
              </w:rPr>
              <w:t>(c)</w:t>
            </w:r>
            <w:r>
              <w:rPr>
                <w:sz w:val="16"/>
                <w:szCs w:val="16"/>
              </w:rPr>
              <w:t>Doka.jpg</w:t>
            </w:r>
          </w:p>
          <w:p w:rsidR="003A021D" w:rsidRPr="00DA6020" w:rsidRDefault="003A021D" w:rsidP="00747C4B">
            <w:pPr>
              <w:spacing w:line="276" w:lineRule="auto"/>
              <w:rPr>
                <w:sz w:val="16"/>
                <w:szCs w:val="16"/>
              </w:rPr>
            </w:pPr>
            <w:r>
              <w:rPr>
                <w:sz w:val="16"/>
              </w:rPr>
              <w:t xml:space="preserve">Copyright: </w:t>
            </w:r>
            <w:proofErr w:type="spellStart"/>
            <w:r>
              <w:rPr>
                <w:sz w:val="16"/>
              </w:rPr>
              <w:t>Doka</w:t>
            </w:r>
            <w:proofErr w:type="spellEnd"/>
            <w:r>
              <w:rPr>
                <w:sz w:val="16"/>
              </w:rPr>
              <w:t xml:space="preserve"> </w:t>
            </w:r>
            <w:proofErr w:type="spellStart"/>
            <w:r>
              <w:rPr>
                <w:sz w:val="16"/>
              </w:rPr>
              <w:t>GmbH</w:t>
            </w:r>
            <w:proofErr w:type="spellEnd"/>
          </w:p>
          <w:p w:rsidR="003A021D" w:rsidRPr="00DA6020" w:rsidRDefault="003A021D" w:rsidP="00747C4B">
            <w:pPr>
              <w:spacing w:line="276" w:lineRule="auto"/>
              <w:rPr>
                <w:sz w:val="16"/>
                <w:szCs w:val="16"/>
                <w:lang w:val="en-US"/>
              </w:rPr>
            </w:pPr>
          </w:p>
        </w:tc>
      </w:tr>
    </w:tbl>
    <w:p w:rsidR="003A021D" w:rsidRPr="003A021D" w:rsidRDefault="003A021D" w:rsidP="00034099">
      <w:pPr>
        <w:rPr>
          <w:rFonts w:cs="Arial"/>
          <w:b/>
          <w:bCs/>
          <w:sz w:val="20"/>
          <w:szCs w:val="20"/>
          <w:lang w:val="en-US"/>
        </w:rPr>
      </w:pPr>
    </w:p>
    <w:sectPr w:rsidR="003A021D" w:rsidRPr="003A021D" w:rsidSect="001F4501">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00DC" w:rsidRDefault="00A200DC">
      <w:r>
        <w:separator/>
      </w:r>
    </w:p>
  </w:endnote>
  <w:endnote w:type="continuationSeparator" w:id="0">
    <w:p w:rsidR="00A200DC" w:rsidRDefault="00A200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W1G-LtC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00DC" w:rsidRDefault="00A200DC">
      <w:r>
        <w:separator/>
      </w:r>
    </w:p>
  </w:footnote>
  <w:footnote w:type="continuationSeparator" w:id="0">
    <w:p w:rsidR="00A200DC" w:rsidRDefault="00A200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00DC" w:rsidRDefault="00A200DC" w:rsidP="008F2ADD">
    <w:pPr>
      <w:pStyle w:val="Kopfzeile"/>
      <w:tabs>
        <w:tab w:val="left" w:pos="269"/>
      </w:tabs>
    </w:pPr>
    <w:r>
      <w:rPr>
        <w:b/>
        <w:noProof/>
        <w:lang w:val="en-US"/>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Information presse</w:t>
    </w:r>
    <w:r w:rsidR="00423EFE">
      <w:t xml:space="preserve"> / Septembre</w:t>
    </w:r>
    <w:r>
      <w:t xml:space="preserve"> 2017</w:t>
    </w:r>
  </w:p>
  <w:p w:rsidR="00A200DC" w:rsidRDefault="00A200DC" w:rsidP="008F2ADD">
    <w:pPr>
      <w:pStyle w:val="Kopfzeile"/>
    </w:pPr>
  </w:p>
  <w:p w:rsidR="00A200DC" w:rsidRPr="00E43CB4" w:rsidRDefault="00A200DC" w:rsidP="008F2ADD">
    <w:pPr>
      <w:pStyle w:val="Kopfzeile"/>
      <w:jc w:val="right"/>
    </w:pPr>
  </w:p>
  <w:p w:rsidR="00A200DC" w:rsidRDefault="00A200DC" w:rsidP="008F2ADD">
    <w:pPr>
      <w:pStyle w:val="Kopfzeile"/>
      <w:jc w:val="right"/>
    </w:pPr>
  </w:p>
  <w:p w:rsidR="00A200DC" w:rsidRDefault="00A200DC">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8884CE1"/>
    <w:multiLevelType w:val="hybridMultilevel"/>
    <w:tmpl w:val="4EF0E4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73E6691"/>
    <w:multiLevelType w:val="hybridMultilevel"/>
    <w:tmpl w:val="36FCF2C6"/>
    <w:lvl w:ilvl="0" w:tplc="4AA643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9FA2DFD"/>
    <w:multiLevelType w:val="hybridMultilevel"/>
    <w:tmpl w:val="250C8540"/>
    <w:lvl w:ilvl="0" w:tplc="E856AF22">
      <w:start w:val="20"/>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3">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56CC2AD2"/>
    <w:multiLevelType w:val="multilevel"/>
    <w:tmpl w:val="1EFCEC30"/>
    <w:numStyleLink w:val="ListemitAufzhlungszeichenDoka"/>
  </w:abstractNum>
  <w:abstractNum w:abstractNumId="27">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3"/>
  </w:num>
  <w:num w:numId="2">
    <w:abstractNumId w:val="7"/>
  </w:num>
  <w:num w:numId="3">
    <w:abstractNumId w:val="19"/>
  </w:num>
  <w:num w:numId="4">
    <w:abstractNumId w:val="8"/>
  </w:num>
  <w:num w:numId="5">
    <w:abstractNumId w:val="24"/>
  </w:num>
  <w:num w:numId="6">
    <w:abstractNumId w:val="13"/>
  </w:num>
  <w:num w:numId="7">
    <w:abstractNumId w:val="15"/>
  </w:num>
  <w:num w:numId="8">
    <w:abstractNumId w:val="5"/>
  </w:num>
  <w:num w:numId="9">
    <w:abstractNumId w:val="23"/>
  </w:num>
  <w:num w:numId="10">
    <w:abstractNumId w:val="12"/>
  </w:num>
  <w:num w:numId="11">
    <w:abstractNumId w:val="34"/>
  </w:num>
  <w:num w:numId="12">
    <w:abstractNumId w:val="16"/>
  </w:num>
  <w:num w:numId="13">
    <w:abstractNumId w:val="0"/>
  </w:num>
  <w:num w:numId="14">
    <w:abstractNumId w:val="32"/>
  </w:num>
  <w:num w:numId="15">
    <w:abstractNumId w:val="29"/>
  </w:num>
  <w:num w:numId="16">
    <w:abstractNumId w:val="18"/>
  </w:num>
  <w:num w:numId="17">
    <w:abstractNumId w:val="2"/>
  </w:num>
  <w:num w:numId="18">
    <w:abstractNumId w:val="28"/>
  </w:num>
  <w:num w:numId="19">
    <w:abstractNumId w:val="3"/>
  </w:num>
  <w:num w:numId="20">
    <w:abstractNumId w:val="27"/>
  </w:num>
  <w:num w:numId="21">
    <w:abstractNumId w:val="1"/>
  </w:num>
  <w:num w:numId="22">
    <w:abstractNumId w:val="6"/>
  </w:num>
  <w:num w:numId="23">
    <w:abstractNumId w:val="11"/>
  </w:num>
  <w:num w:numId="24">
    <w:abstractNumId w:val="21"/>
  </w:num>
  <w:num w:numId="25">
    <w:abstractNumId w:val="25"/>
  </w:num>
  <w:num w:numId="26">
    <w:abstractNumId w:val="9"/>
  </w:num>
  <w:num w:numId="27">
    <w:abstractNumId w:val="30"/>
  </w:num>
  <w:num w:numId="28">
    <w:abstractNumId w:val="31"/>
  </w:num>
  <w:num w:numId="29">
    <w:abstractNumId w:val="17"/>
  </w:num>
  <w:num w:numId="30">
    <w:abstractNumId w:val="14"/>
  </w:num>
  <w:num w:numId="31">
    <w:abstractNumId w:val="26"/>
  </w:num>
  <w:num w:numId="32">
    <w:abstractNumId w:val="4"/>
  </w:num>
  <w:num w:numId="33">
    <w:abstractNumId w:val="22"/>
  </w:num>
  <w:num w:numId="34">
    <w:abstractNumId w:val="20"/>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8001"/>
  </w:hdrShapeDefaults>
  <w:footnotePr>
    <w:footnote w:id="-1"/>
    <w:footnote w:id="0"/>
  </w:footnotePr>
  <w:endnotePr>
    <w:endnote w:id="-1"/>
    <w:endnote w:id="0"/>
  </w:endnotePr>
  <w:compat/>
  <w:rsids>
    <w:rsidRoot w:val="004C707F"/>
    <w:rsid w:val="00001DF8"/>
    <w:rsid w:val="00001E5D"/>
    <w:rsid w:val="000035C4"/>
    <w:rsid w:val="00005A66"/>
    <w:rsid w:val="00005BA4"/>
    <w:rsid w:val="00005CA4"/>
    <w:rsid w:val="00006FAA"/>
    <w:rsid w:val="00010B19"/>
    <w:rsid w:val="0001239A"/>
    <w:rsid w:val="00015F66"/>
    <w:rsid w:val="000164FB"/>
    <w:rsid w:val="00016591"/>
    <w:rsid w:val="00017E35"/>
    <w:rsid w:val="000206DB"/>
    <w:rsid w:val="00021A76"/>
    <w:rsid w:val="00022C99"/>
    <w:rsid w:val="00023479"/>
    <w:rsid w:val="00024616"/>
    <w:rsid w:val="000251EE"/>
    <w:rsid w:val="00030363"/>
    <w:rsid w:val="00031903"/>
    <w:rsid w:val="00032029"/>
    <w:rsid w:val="00032FE1"/>
    <w:rsid w:val="00034099"/>
    <w:rsid w:val="00034B75"/>
    <w:rsid w:val="000358AF"/>
    <w:rsid w:val="00037AC8"/>
    <w:rsid w:val="00041FC1"/>
    <w:rsid w:val="0004435C"/>
    <w:rsid w:val="000457D7"/>
    <w:rsid w:val="00047A5E"/>
    <w:rsid w:val="00056EC9"/>
    <w:rsid w:val="0006146F"/>
    <w:rsid w:val="000632DB"/>
    <w:rsid w:val="00066095"/>
    <w:rsid w:val="00072B49"/>
    <w:rsid w:val="00073AC8"/>
    <w:rsid w:val="00074603"/>
    <w:rsid w:val="0007693E"/>
    <w:rsid w:val="00076DB5"/>
    <w:rsid w:val="000773D4"/>
    <w:rsid w:val="00081B55"/>
    <w:rsid w:val="00090489"/>
    <w:rsid w:val="000931C4"/>
    <w:rsid w:val="000934DE"/>
    <w:rsid w:val="00094E70"/>
    <w:rsid w:val="0009777F"/>
    <w:rsid w:val="000A27A6"/>
    <w:rsid w:val="000A3429"/>
    <w:rsid w:val="000A4782"/>
    <w:rsid w:val="000A6BF4"/>
    <w:rsid w:val="000B1E8D"/>
    <w:rsid w:val="000B7ED1"/>
    <w:rsid w:val="000C09CF"/>
    <w:rsid w:val="000C0E0C"/>
    <w:rsid w:val="000C58F0"/>
    <w:rsid w:val="000C7784"/>
    <w:rsid w:val="000D09F0"/>
    <w:rsid w:val="000D0CDF"/>
    <w:rsid w:val="000D3FE3"/>
    <w:rsid w:val="000D6636"/>
    <w:rsid w:val="000D7048"/>
    <w:rsid w:val="000D7B0A"/>
    <w:rsid w:val="000E0B2E"/>
    <w:rsid w:val="000E278F"/>
    <w:rsid w:val="000E3A57"/>
    <w:rsid w:val="000F0A26"/>
    <w:rsid w:val="000F27D8"/>
    <w:rsid w:val="000F2860"/>
    <w:rsid w:val="000F4755"/>
    <w:rsid w:val="000F6CA7"/>
    <w:rsid w:val="000F76A4"/>
    <w:rsid w:val="00101154"/>
    <w:rsid w:val="00101991"/>
    <w:rsid w:val="0010480C"/>
    <w:rsid w:val="00105C9E"/>
    <w:rsid w:val="001061E2"/>
    <w:rsid w:val="00106E60"/>
    <w:rsid w:val="00106E89"/>
    <w:rsid w:val="0010701D"/>
    <w:rsid w:val="00107B3C"/>
    <w:rsid w:val="001121D1"/>
    <w:rsid w:val="0011300D"/>
    <w:rsid w:val="0011670E"/>
    <w:rsid w:val="00121825"/>
    <w:rsid w:val="00123655"/>
    <w:rsid w:val="001249C4"/>
    <w:rsid w:val="0012522B"/>
    <w:rsid w:val="0012691E"/>
    <w:rsid w:val="001333F8"/>
    <w:rsid w:val="0013361D"/>
    <w:rsid w:val="00137475"/>
    <w:rsid w:val="001377E1"/>
    <w:rsid w:val="00141D03"/>
    <w:rsid w:val="00142BE3"/>
    <w:rsid w:val="00144E26"/>
    <w:rsid w:val="0014515C"/>
    <w:rsid w:val="00145700"/>
    <w:rsid w:val="00146707"/>
    <w:rsid w:val="00146978"/>
    <w:rsid w:val="00146991"/>
    <w:rsid w:val="0015009A"/>
    <w:rsid w:val="00150667"/>
    <w:rsid w:val="00150745"/>
    <w:rsid w:val="00151116"/>
    <w:rsid w:val="00151804"/>
    <w:rsid w:val="0015238A"/>
    <w:rsid w:val="001529C9"/>
    <w:rsid w:val="001529D7"/>
    <w:rsid w:val="001532FF"/>
    <w:rsid w:val="001550EB"/>
    <w:rsid w:val="0015605F"/>
    <w:rsid w:val="00161368"/>
    <w:rsid w:val="001623A2"/>
    <w:rsid w:val="001629CD"/>
    <w:rsid w:val="00163E88"/>
    <w:rsid w:val="00165E1B"/>
    <w:rsid w:val="00167DC2"/>
    <w:rsid w:val="00175E56"/>
    <w:rsid w:val="00180E8A"/>
    <w:rsid w:val="00182235"/>
    <w:rsid w:val="0018399C"/>
    <w:rsid w:val="00186CB1"/>
    <w:rsid w:val="001875BA"/>
    <w:rsid w:val="00190C01"/>
    <w:rsid w:val="00191504"/>
    <w:rsid w:val="00191F1C"/>
    <w:rsid w:val="00192350"/>
    <w:rsid w:val="00192844"/>
    <w:rsid w:val="0019341F"/>
    <w:rsid w:val="001A1266"/>
    <w:rsid w:val="001A3C69"/>
    <w:rsid w:val="001A5C2E"/>
    <w:rsid w:val="001B24D6"/>
    <w:rsid w:val="001B4989"/>
    <w:rsid w:val="001B504D"/>
    <w:rsid w:val="001B66E8"/>
    <w:rsid w:val="001B6ABF"/>
    <w:rsid w:val="001B6EF0"/>
    <w:rsid w:val="001C2B26"/>
    <w:rsid w:val="001C3BEC"/>
    <w:rsid w:val="001C731A"/>
    <w:rsid w:val="001D1B09"/>
    <w:rsid w:val="001D39D7"/>
    <w:rsid w:val="001D775D"/>
    <w:rsid w:val="001E30AD"/>
    <w:rsid w:val="001E5C32"/>
    <w:rsid w:val="001E625B"/>
    <w:rsid w:val="001E78A3"/>
    <w:rsid w:val="001F0607"/>
    <w:rsid w:val="001F1553"/>
    <w:rsid w:val="001F4501"/>
    <w:rsid w:val="001F67C2"/>
    <w:rsid w:val="0020125E"/>
    <w:rsid w:val="002046D6"/>
    <w:rsid w:val="00206107"/>
    <w:rsid w:val="00212D77"/>
    <w:rsid w:val="00214591"/>
    <w:rsid w:val="00215461"/>
    <w:rsid w:val="00216EBD"/>
    <w:rsid w:val="00217920"/>
    <w:rsid w:val="00217D53"/>
    <w:rsid w:val="002217EB"/>
    <w:rsid w:val="00222918"/>
    <w:rsid w:val="0022681D"/>
    <w:rsid w:val="002273BC"/>
    <w:rsid w:val="00231CD8"/>
    <w:rsid w:val="0023241C"/>
    <w:rsid w:val="00233995"/>
    <w:rsid w:val="002349EA"/>
    <w:rsid w:val="00235DB4"/>
    <w:rsid w:val="00241FFC"/>
    <w:rsid w:val="0024357E"/>
    <w:rsid w:val="00244453"/>
    <w:rsid w:val="00245B95"/>
    <w:rsid w:val="00247C20"/>
    <w:rsid w:val="002518A2"/>
    <w:rsid w:val="0025551E"/>
    <w:rsid w:val="00255FAB"/>
    <w:rsid w:val="00260020"/>
    <w:rsid w:val="002622A5"/>
    <w:rsid w:val="00263386"/>
    <w:rsid w:val="00263FB8"/>
    <w:rsid w:val="002647DE"/>
    <w:rsid w:val="002671B6"/>
    <w:rsid w:val="00270768"/>
    <w:rsid w:val="00271C96"/>
    <w:rsid w:val="00277CE6"/>
    <w:rsid w:val="0028229F"/>
    <w:rsid w:val="0028370E"/>
    <w:rsid w:val="00283BB3"/>
    <w:rsid w:val="002878DF"/>
    <w:rsid w:val="00287BDE"/>
    <w:rsid w:val="00292958"/>
    <w:rsid w:val="002955F7"/>
    <w:rsid w:val="00295804"/>
    <w:rsid w:val="00296B63"/>
    <w:rsid w:val="00297904"/>
    <w:rsid w:val="002A0E48"/>
    <w:rsid w:val="002A1FB5"/>
    <w:rsid w:val="002A28A8"/>
    <w:rsid w:val="002A3351"/>
    <w:rsid w:val="002A48AA"/>
    <w:rsid w:val="002A48CD"/>
    <w:rsid w:val="002A560B"/>
    <w:rsid w:val="002A6293"/>
    <w:rsid w:val="002A6736"/>
    <w:rsid w:val="002A7BE0"/>
    <w:rsid w:val="002B0A77"/>
    <w:rsid w:val="002B1823"/>
    <w:rsid w:val="002B2195"/>
    <w:rsid w:val="002B7048"/>
    <w:rsid w:val="002B77BD"/>
    <w:rsid w:val="002C3B72"/>
    <w:rsid w:val="002C4E8E"/>
    <w:rsid w:val="002C79F1"/>
    <w:rsid w:val="002C7F0F"/>
    <w:rsid w:val="002D1CC4"/>
    <w:rsid w:val="002D5383"/>
    <w:rsid w:val="002D7E07"/>
    <w:rsid w:val="002E691F"/>
    <w:rsid w:val="002E6E8D"/>
    <w:rsid w:val="002E7289"/>
    <w:rsid w:val="002F0538"/>
    <w:rsid w:val="002F14EE"/>
    <w:rsid w:val="002F35D8"/>
    <w:rsid w:val="002F46EC"/>
    <w:rsid w:val="002F6989"/>
    <w:rsid w:val="0030061E"/>
    <w:rsid w:val="003008C0"/>
    <w:rsid w:val="003021C4"/>
    <w:rsid w:val="00306A48"/>
    <w:rsid w:val="00311762"/>
    <w:rsid w:val="00315C2D"/>
    <w:rsid w:val="00316391"/>
    <w:rsid w:val="003201F6"/>
    <w:rsid w:val="003214AF"/>
    <w:rsid w:val="003254C3"/>
    <w:rsid w:val="00325611"/>
    <w:rsid w:val="00326CF9"/>
    <w:rsid w:val="00330693"/>
    <w:rsid w:val="003364BD"/>
    <w:rsid w:val="003422A5"/>
    <w:rsid w:val="00342B97"/>
    <w:rsid w:val="00343325"/>
    <w:rsid w:val="003436AE"/>
    <w:rsid w:val="0035288B"/>
    <w:rsid w:val="00357964"/>
    <w:rsid w:val="00357C2A"/>
    <w:rsid w:val="003605A8"/>
    <w:rsid w:val="00361C4D"/>
    <w:rsid w:val="003631D1"/>
    <w:rsid w:val="00363D32"/>
    <w:rsid w:val="00366A3C"/>
    <w:rsid w:val="00371B67"/>
    <w:rsid w:val="00375913"/>
    <w:rsid w:val="003764D7"/>
    <w:rsid w:val="00377102"/>
    <w:rsid w:val="00380A98"/>
    <w:rsid w:val="00383394"/>
    <w:rsid w:val="00385AA2"/>
    <w:rsid w:val="00386AD2"/>
    <w:rsid w:val="00390D71"/>
    <w:rsid w:val="00393CDB"/>
    <w:rsid w:val="00394288"/>
    <w:rsid w:val="003A021D"/>
    <w:rsid w:val="003A5B0C"/>
    <w:rsid w:val="003A79FC"/>
    <w:rsid w:val="003B3FCB"/>
    <w:rsid w:val="003B7D96"/>
    <w:rsid w:val="003C37F4"/>
    <w:rsid w:val="003C3BC9"/>
    <w:rsid w:val="003C58F6"/>
    <w:rsid w:val="003C7768"/>
    <w:rsid w:val="003D2149"/>
    <w:rsid w:val="003D372D"/>
    <w:rsid w:val="003D45EF"/>
    <w:rsid w:val="003E0E0F"/>
    <w:rsid w:val="003E1B7C"/>
    <w:rsid w:val="003E3324"/>
    <w:rsid w:val="003E4C28"/>
    <w:rsid w:val="003E4C7C"/>
    <w:rsid w:val="003E62DA"/>
    <w:rsid w:val="003E679B"/>
    <w:rsid w:val="003F1085"/>
    <w:rsid w:val="003F1419"/>
    <w:rsid w:val="003F1F52"/>
    <w:rsid w:val="003F2D41"/>
    <w:rsid w:val="003F3629"/>
    <w:rsid w:val="003F36FE"/>
    <w:rsid w:val="003F3E4E"/>
    <w:rsid w:val="003F5E30"/>
    <w:rsid w:val="003F6267"/>
    <w:rsid w:val="003F627A"/>
    <w:rsid w:val="00404451"/>
    <w:rsid w:val="00404F59"/>
    <w:rsid w:val="00405A09"/>
    <w:rsid w:val="00410041"/>
    <w:rsid w:val="00414531"/>
    <w:rsid w:val="004165BC"/>
    <w:rsid w:val="004235FA"/>
    <w:rsid w:val="00423EFE"/>
    <w:rsid w:val="00424EB9"/>
    <w:rsid w:val="00426905"/>
    <w:rsid w:val="004270A9"/>
    <w:rsid w:val="00430B08"/>
    <w:rsid w:val="004324E4"/>
    <w:rsid w:val="004361E6"/>
    <w:rsid w:val="004454F6"/>
    <w:rsid w:val="00451B53"/>
    <w:rsid w:val="00452CE5"/>
    <w:rsid w:val="00455EFF"/>
    <w:rsid w:val="00461AEE"/>
    <w:rsid w:val="00463017"/>
    <w:rsid w:val="004639B7"/>
    <w:rsid w:val="00463CD4"/>
    <w:rsid w:val="0046479F"/>
    <w:rsid w:val="00464B9F"/>
    <w:rsid w:val="00465090"/>
    <w:rsid w:val="0046617D"/>
    <w:rsid w:val="00474177"/>
    <w:rsid w:val="004758D0"/>
    <w:rsid w:val="004772EF"/>
    <w:rsid w:val="004819BA"/>
    <w:rsid w:val="0048426A"/>
    <w:rsid w:val="00485ECC"/>
    <w:rsid w:val="00490D95"/>
    <w:rsid w:val="00491B05"/>
    <w:rsid w:val="00492D60"/>
    <w:rsid w:val="004A0EF2"/>
    <w:rsid w:val="004A11B0"/>
    <w:rsid w:val="004A3FD6"/>
    <w:rsid w:val="004A454D"/>
    <w:rsid w:val="004B0024"/>
    <w:rsid w:val="004C0D81"/>
    <w:rsid w:val="004C47F8"/>
    <w:rsid w:val="004C4A28"/>
    <w:rsid w:val="004C51BD"/>
    <w:rsid w:val="004C56CF"/>
    <w:rsid w:val="004C6876"/>
    <w:rsid w:val="004C707F"/>
    <w:rsid w:val="004C7B88"/>
    <w:rsid w:val="004D0745"/>
    <w:rsid w:val="004E01A8"/>
    <w:rsid w:val="004E5EFD"/>
    <w:rsid w:val="004F0C47"/>
    <w:rsid w:val="004F13B7"/>
    <w:rsid w:val="004F1622"/>
    <w:rsid w:val="00500331"/>
    <w:rsid w:val="005021D2"/>
    <w:rsid w:val="00502444"/>
    <w:rsid w:val="00503ED8"/>
    <w:rsid w:val="005040D1"/>
    <w:rsid w:val="00507CE8"/>
    <w:rsid w:val="00514C50"/>
    <w:rsid w:val="005151C6"/>
    <w:rsid w:val="0051534D"/>
    <w:rsid w:val="00516CCC"/>
    <w:rsid w:val="00520907"/>
    <w:rsid w:val="00522770"/>
    <w:rsid w:val="00524491"/>
    <w:rsid w:val="005257A0"/>
    <w:rsid w:val="005264B6"/>
    <w:rsid w:val="00531302"/>
    <w:rsid w:val="005326E6"/>
    <w:rsid w:val="005329A4"/>
    <w:rsid w:val="00532FA9"/>
    <w:rsid w:val="00533B9D"/>
    <w:rsid w:val="00541415"/>
    <w:rsid w:val="005428D8"/>
    <w:rsid w:val="00545FB8"/>
    <w:rsid w:val="00547C6D"/>
    <w:rsid w:val="00561564"/>
    <w:rsid w:val="00564AF1"/>
    <w:rsid w:val="0056548D"/>
    <w:rsid w:val="005673DA"/>
    <w:rsid w:val="00573B10"/>
    <w:rsid w:val="00575CDA"/>
    <w:rsid w:val="00584432"/>
    <w:rsid w:val="0059089E"/>
    <w:rsid w:val="00591F76"/>
    <w:rsid w:val="00592DA5"/>
    <w:rsid w:val="005942F6"/>
    <w:rsid w:val="00594A33"/>
    <w:rsid w:val="00595B1F"/>
    <w:rsid w:val="00595B2B"/>
    <w:rsid w:val="005965EE"/>
    <w:rsid w:val="005A57D3"/>
    <w:rsid w:val="005B3210"/>
    <w:rsid w:val="005B6039"/>
    <w:rsid w:val="005B70A3"/>
    <w:rsid w:val="005C05EF"/>
    <w:rsid w:val="005C1176"/>
    <w:rsid w:val="005C4ED3"/>
    <w:rsid w:val="005D114F"/>
    <w:rsid w:val="005D590E"/>
    <w:rsid w:val="005E4BFA"/>
    <w:rsid w:val="005F0E38"/>
    <w:rsid w:val="005F4E67"/>
    <w:rsid w:val="005F6A06"/>
    <w:rsid w:val="0060389F"/>
    <w:rsid w:val="00605ED4"/>
    <w:rsid w:val="00607D2C"/>
    <w:rsid w:val="00616559"/>
    <w:rsid w:val="006174CA"/>
    <w:rsid w:val="00624324"/>
    <w:rsid w:val="00624AF4"/>
    <w:rsid w:val="00624DEB"/>
    <w:rsid w:val="0062650A"/>
    <w:rsid w:val="00626A22"/>
    <w:rsid w:val="00627061"/>
    <w:rsid w:val="00630D0C"/>
    <w:rsid w:val="00631BE6"/>
    <w:rsid w:val="00633874"/>
    <w:rsid w:val="00636028"/>
    <w:rsid w:val="00636A80"/>
    <w:rsid w:val="00640166"/>
    <w:rsid w:val="006414C4"/>
    <w:rsid w:val="00641955"/>
    <w:rsid w:val="00644708"/>
    <w:rsid w:val="006459F5"/>
    <w:rsid w:val="00646FD2"/>
    <w:rsid w:val="0064730F"/>
    <w:rsid w:val="006515B2"/>
    <w:rsid w:val="00653266"/>
    <w:rsid w:val="006542E6"/>
    <w:rsid w:val="00655F40"/>
    <w:rsid w:val="006568C4"/>
    <w:rsid w:val="00665F31"/>
    <w:rsid w:val="00667197"/>
    <w:rsid w:val="00672656"/>
    <w:rsid w:val="006735BC"/>
    <w:rsid w:val="00673A41"/>
    <w:rsid w:val="006748FC"/>
    <w:rsid w:val="00676BB2"/>
    <w:rsid w:val="006775AD"/>
    <w:rsid w:val="00681411"/>
    <w:rsid w:val="00687F2A"/>
    <w:rsid w:val="00692CCA"/>
    <w:rsid w:val="00694EEE"/>
    <w:rsid w:val="00695639"/>
    <w:rsid w:val="0069670A"/>
    <w:rsid w:val="006A380E"/>
    <w:rsid w:val="006A4302"/>
    <w:rsid w:val="006A7FEA"/>
    <w:rsid w:val="006B1C40"/>
    <w:rsid w:val="006B44CA"/>
    <w:rsid w:val="006B49BA"/>
    <w:rsid w:val="006B53A2"/>
    <w:rsid w:val="006B6F45"/>
    <w:rsid w:val="006C0CAA"/>
    <w:rsid w:val="006C5FFE"/>
    <w:rsid w:val="006D11DF"/>
    <w:rsid w:val="006D2F3F"/>
    <w:rsid w:val="006D33AE"/>
    <w:rsid w:val="006D4BCB"/>
    <w:rsid w:val="006D598E"/>
    <w:rsid w:val="006E1201"/>
    <w:rsid w:val="006E1D40"/>
    <w:rsid w:val="006E6F12"/>
    <w:rsid w:val="006F005D"/>
    <w:rsid w:val="006F4ED2"/>
    <w:rsid w:val="006F54ED"/>
    <w:rsid w:val="00700FC1"/>
    <w:rsid w:val="00701B60"/>
    <w:rsid w:val="00704218"/>
    <w:rsid w:val="00704329"/>
    <w:rsid w:val="007107B6"/>
    <w:rsid w:val="00712661"/>
    <w:rsid w:val="00712D4B"/>
    <w:rsid w:val="00715803"/>
    <w:rsid w:val="00715E95"/>
    <w:rsid w:val="00716038"/>
    <w:rsid w:val="00722415"/>
    <w:rsid w:val="00723FBC"/>
    <w:rsid w:val="00736003"/>
    <w:rsid w:val="007405E7"/>
    <w:rsid w:val="00740B84"/>
    <w:rsid w:val="00743D15"/>
    <w:rsid w:val="0074421F"/>
    <w:rsid w:val="0074461C"/>
    <w:rsid w:val="0074598C"/>
    <w:rsid w:val="00745CFC"/>
    <w:rsid w:val="00745EC2"/>
    <w:rsid w:val="007468BB"/>
    <w:rsid w:val="007470D4"/>
    <w:rsid w:val="00747788"/>
    <w:rsid w:val="00747C4B"/>
    <w:rsid w:val="0075418C"/>
    <w:rsid w:val="00754317"/>
    <w:rsid w:val="00754E98"/>
    <w:rsid w:val="007619EF"/>
    <w:rsid w:val="00761C3D"/>
    <w:rsid w:val="00765BFB"/>
    <w:rsid w:val="007714DC"/>
    <w:rsid w:val="0077278C"/>
    <w:rsid w:val="007773A8"/>
    <w:rsid w:val="007802C6"/>
    <w:rsid w:val="00782A7A"/>
    <w:rsid w:val="0078579B"/>
    <w:rsid w:val="00786FD8"/>
    <w:rsid w:val="007A2609"/>
    <w:rsid w:val="007A3EAD"/>
    <w:rsid w:val="007A4A33"/>
    <w:rsid w:val="007A694E"/>
    <w:rsid w:val="007B060B"/>
    <w:rsid w:val="007B112B"/>
    <w:rsid w:val="007B27E3"/>
    <w:rsid w:val="007B3145"/>
    <w:rsid w:val="007B36E6"/>
    <w:rsid w:val="007B5A4D"/>
    <w:rsid w:val="007C1F7C"/>
    <w:rsid w:val="007C4F72"/>
    <w:rsid w:val="007D0F3B"/>
    <w:rsid w:val="007D13FB"/>
    <w:rsid w:val="007D28A3"/>
    <w:rsid w:val="007D3045"/>
    <w:rsid w:val="007D3940"/>
    <w:rsid w:val="007D7D03"/>
    <w:rsid w:val="007E09C2"/>
    <w:rsid w:val="007E2140"/>
    <w:rsid w:val="007E243A"/>
    <w:rsid w:val="007E4931"/>
    <w:rsid w:val="007F1B5C"/>
    <w:rsid w:val="007F6EE0"/>
    <w:rsid w:val="007F7905"/>
    <w:rsid w:val="00802C3F"/>
    <w:rsid w:val="00803DE6"/>
    <w:rsid w:val="008071E0"/>
    <w:rsid w:val="00807495"/>
    <w:rsid w:val="008122E0"/>
    <w:rsid w:val="008168B4"/>
    <w:rsid w:val="00820494"/>
    <w:rsid w:val="008213BD"/>
    <w:rsid w:val="00823F8B"/>
    <w:rsid w:val="0082546A"/>
    <w:rsid w:val="00826274"/>
    <w:rsid w:val="00826BB2"/>
    <w:rsid w:val="00832A6E"/>
    <w:rsid w:val="00833554"/>
    <w:rsid w:val="00835A55"/>
    <w:rsid w:val="008367C3"/>
    <w:rsid w:val="008406A8"/>
    <w:rsid w:val="00840F99"/>
    <w:rsid w:val="00841263"/>
    <w:rsid w:val="0084262F"/>
    <w:rsid w:val="00842784"/>
    <w:rsid w:val="008440A1"/>
    <w:rsid w:val="0084602A"/>
    <w:rsid w:val="00853D71"/>
    <w:rsid w:val="00854258"/>
    <w:rsid w:val="00856656"/>
    <w:rsid w:val="00861C28"/>
    <w:rsid w:val="00862648"/>
    <w:rsid w:val="00870FC4"/>
    <w:rsid w:val="00873B14"/>
    <w:rsid w:val="0087423F"/>
    <w:rsid w:val="008779CD"/>
    <w:rsid w:val="008850B1"/>
    <w:rsid w:val="0088590F"/>
    <w:rsid w:val="00891372"/>
    <w:rsid w:val="008925E9"/>
    <w:rsid w:val="00892BD9"/>
    <w:rsid w:val="008938F0"/>
    <w:rsid w:val="00894A7D"/>
    <w:rsid w:val="00894E04"/>
    <w:rsid w:val="00894F76"/>
    <w:rsid w:val="00896412"/>
    <w:rsid w:val="008A7C47"/>
    <w:rsid w:val="008B0235"/>
    <w:rsid w:val="008B0E4B"/>
    <w:rsid w:val="008B23C4"/>
    <w:rsid w:val="008B2454"/>
    <w:rsid w:val="008B745B"/>
    <w:rsid w:val="008B7FD4"/>
    <w:rsid w:val="008C0D53"/>
    <w:rsid w:val="008C24F7"/>
    <w:rsid w:val="008C261F"/>
    <w:rsid w:val="008C3FD8"/>
    <w:rsid w:val="008C504E"/>
    <w:rsid w:val="008C7981"/>
    <w:rsid w:val="008D1E1D"/>
    <w:rsid w:val="008D258A"/>
    <w:rsid w:val="008D3FB1"/>
    <w:rsid w:val="008E01B1"/>
    <w:rsid w:val="008E22AA"/>
    <w:rsid w:val="008E3032"/>
    <w:rsid w:val="008E35E0"/>
    <w:rsid w:val="008E371D"/>
    <w:rsid w:val="008E3802"/>
    <w:rsid w:val="008F0B23"/>
    <w:rsid w:val="008F2ADD"/>
    <w:rsid w:val="008F2D79"/>
    <w:rsid w:val="008F3B76"/>
    <w:rsid w:val="008F3EB3"/>
    <w:rsid w:val="0090010C"/>
    <w:rsid w:val="009030E3"/>
    <w:rsid w:val="009036B6"/>
    <w:rsid w:val="009058AA"/>
    <w:rsid w:val="009059DD"/>
    <w:rsid w:val="0091326C"/>
    <w:rsid w:val="0091399C"/>
    <w:rsid w:val="009142E4"/>
    <w:rsid w:val="00917C06"/>
    <w:rsid w:val="00917C45"/>
    <w:rsid w:val="00922EA2"/>
    <w:rsid w:val="009249D5"/>
    <w:rsid w:val="00925429"/>
    <w:rsid w:val="0093020F"/>
    <w:rsid w:val="009355F1"/>
    <w:rsid w:val="009454D7"/>
    <w:rsid w:val="00945993"/>
    <w:rsid w:val="00945ACF"/>
    <w:rsid w:val="00945FFC"/>
    <w:rsid w:val="00946116"/>
    <w:rsid w:val="00946D97"/>
    <w:rsid w:val="00947EF7"/>
    <w:rsid w:val="00950FA8"/>
    <w:rsid w:val="00955FDB"/>
    <w:rsid w:val="009641AB"/>
    <w:rsid w:val="00965F0E"/>
    <w:rsid w:val="00966E67"/>
    <w:rsid w:val="00971C3F"/>
    <w:rsid w:val="00971E7C"/>
    <w:rsid w:val="00973CDC"/>
    <w:rsid w:val="00975006"/>
    <w:rsid w:val="009753D5"/>
    <w:rsid w:val="009804B3"/>
    <w:rsid w:val="009808C0"/>
    <w:rsid w:val="00980B19"/>
    <w:rsid w:val="00982A14"/>
    <w:rsid w:val="0098308A"/>
    <w:rsid w:val="009834DC"/>
    <w:rsid w:val="0098677B"/>
    <w:rsid w:val="00992DAA"/>
    <w:rsid w:val="00994A9D"/>
    <w:rsid w:val="009A00A8"/>
    <w:rsid w:val="009A0EB6"/>
    <w:rsid w:val="009A1B3F"/>
    <w:rsid w:val="009A1EB7"/>
    <w:rsid w:val="009A2A80"/>
    <w:rsid w:val="009A3E1E"/>
    <w:rsid w:val="009A3F03"/>
    <w:rsid w:val="009A3FB0"/>
    <w:rsid w:val="009B5FA1"/>
    <w:rsid w:val="009C0E5A"/>
    <w:rsid w:val="009C2637"/>
    <w:rsid w:val="009C36EC"/>
    <w:rsid w:val="009C42A7"/>
    <w:rsid w:val="009C5877"/>
    <w:rsid w:val="009D3584"/>
    <w:rsid w:val="009D7CFE"/>
    <w:rsid w:val="009E082E"/>
    <w:rsid w:val="009E1CAB"/>
    <w:rsid w:val="009E3BD4"/>
    <w:rsid w:val="009E728D"/>
    <w:rsid w:val="009F1709"/>
    <w:rsid w:val="009F47B8"/>
    <w:rsid w:val="009F502C"/>
    <w:rsid w:val="009F780B"/>
    <w:rsid w:val="009F7C47"/>
    <w:rsid w:val="00A02AFD"/>
    <w:rsid w:val="00A0387C"/>
    <w:rsid w:val="00A06260"/>
    <w:rsid w:val="00A13AEE"/>
    <w:rsid w:val="00A17DD2"/>
    <w:rsid w:val="00A200DC"/>
    <w:rsid w:val="00A221B3"/>
    <w:rsid w:val="00A2381F"/>
    <w:rsid w:val="00A247B8"/>
    <w:rsid w:val="00A25681"/>
    <w:rsid w:val="00A262A3"/>
    <w:rsid w:val="00A269CA"/>
    <w:rsid w:val="00A33273"/>
    <w:rsid w:val="00A33E85"/>
    <w:rsid w:val="00A34F20"/>
    <w:rsid w:val="00A35E0B"/>
    <w:rsid w:val="00A3619D"/>
    <w:rsid w:val="00A4043A"/>
    <w:rsid w:val="00A40E1F"/>
    <w:rsid w:val="00A41A75"/>
    <w:rsid w:val="00A42B9E"/>
    <w:rsid w:val="00A4608E"/>
    <w:rsid w:val="00A4687D"/>
    <w:rsid w:val="00A56660"/>
    <w:rsid w:val="00A57211"/>
    <w:rsid w:val="00A60756"/>
    <w:rsid w:val="00A61496"/>
    <w:rsid w:val="00A614D3"/>
    <w:rsid w:val="00A61573"/>
    <w:rsid w:val="00A62EEB"/>
    <w:rsid w:val="00A63846"/>
    <w:rsid w:val="00A63884"/>
    <w:rsid w:val="00A666AA"/>
    <w:rsid w:val="00A72016"/>
    <w:rsid w:val="00A754F9"/>
    <w:rsid w:val="00A758AD"/>
    <w:rsid w:val="00A773DD"/>
    <w:rsid w:val="00A80792"/>
    <w:rsid w:val="00A80CDE"/>
    <w:rsid w:val="00A821E6"/>
    <w:rsid w:val="00A82C83"/>
    <w:rsid w:val="00A833FC"/>
    <w:rsid w:val="00A90C33"/>
    <w:rsid w:val="00A9358B"/>
    <w:rsid w:val="00A94BF0"/>
    <w:rsid w:val="00A957C5"/>
    <w:rsid w:val="00AA0B2D"/>
    <w:rsid w:val="00AA1120"/>
    <w:rsid w:val="00AA1B03"/>
    <w:rsid w:val="00AA2FE5"/>
    <w:rsid w:val="00AA3880"/>
    <w:rsid w:val="00AA419A"/>
    <w:rsid w:val="00AA4BB9"/>
    <w:rsid w:val="00AA4C2E"/>
    <w:rsid w:val="00AB0B4C"/>
    <w:rsid w:val="00AB3191"/>
    <w:rsid w:val="00AB4CCF"/>
    <w:rsid w:val="00AB5699"/>
    <w:rsid w:val="00AC169A"/>
    <w:rsid w:val="00AC3A35"/>
    <w:rsid w:val="00AC4F05"/>
    <w:rsid w:val="00AC5F9C"/>
    <w:rsid w:val="00AC7AE1"/>
    <w:rsid w:val="00AC7E2C"/>
    <w:rsid w:val="00AD5B02"/>
    <w:rsid w:val="00AE3D60"/>
    <w:rsid w:val="00AE57CB"/>
    <w:rsid w:val="00AE59B2"/>
    <w:rsid w:val="00AE68AC"/>
    <w:rsid w:val="00AF032B"/>
    <w:rsid w:val="00AF0FDF"/>
    <w:rsid w:val="00AF1D9C"/>
    <w:rsid w:val="00AF4B4A"/>
    <w:rsid w:val="00AF7050"/>
    <w:rsid w:val="00B02266"/>
    <w:rsid w:val="00B03209"/>
    <w:rsid w:val="00B06F01"/>
    <w:rsid w:val="00B10489"/>
    <w:rsid w:val="00B108DC"/>
    <w:rsid w:val="00B1222E"/>
    <w:rsid w:val="00B17A0C"/>
    <w:rsid w:val="00B17C01"/>
    <w:rsid w:val="00B20955"/>
    <w:rsid w:val="00B25C47"/>
    <w:rsid w:val="00B3057D"/>
    <w:rsid w:val="00B31243"/>
    <w:rsid w:val="00B34538"/>
    <w:rsid w:val="00B34550"/>
    <w:rsid w:val="00B3679E"/>
    <w:rsid w:val="00B36955"/>
    <w:rsid w:val="00B407A4"/>
    <w:rsid w:val="00B42655"/>
    <w:rsid w:val="00B431A7"/>
    <w:rsid w:val="00B43CC4"/>
    <w:rsid w:val="00B56D6D"/>
    <w:rsid w:val="00B605BB"/>
    <w:rsid w:val="00B61DDC"/>
    <w:rsid w:val="00B630BB"/>
    <w:rsid w:val="00B663BA"/>
    <w:rsid w:val="00B67603"/>
    <w:rsid w:val="00B70D43"/>
    <w:rsid w:val="00B7341D"/>
    <w:rsid w:val="00B75217"/>
    <w:rsid w:val="00B84C00"/>
    <w:rsid w:val="00B878D2"/>
    <w:rsid w:val="00B924BD"/>
    <w:rsid w:val="00B926C9"/>
    <w:rsid w:val="00B94F54"/>
    <w:rsid w:val="00BA07EC"/>
    <w:rsid w:val="00BA277C"/>
    <w:rsid w:val="00BA38D4"/>
    <w:rsid w:val="00BA412F"/>
    <w:rsid w:val="00BA4A3F"/>
    <w:rsid w:val="00BA4C96"/>
    <w:rsid w:val="00BA6027"/>
    <w:rsid w:val="00BA7E0B"/>
    <w:rsid w:val="00BB5CC5"/>
    <w:rsid w:val="00BB642C"/>
    <w:rsid w:val="00BC398A"/>
    <w:rsid w:val="00BC6346"/>
    <w:rsid w:val="00BD56B6"/>
    <w:rsid w:val="00BD6411"/>
    <w:rsid w:val="00BE0626"/>
    <w:rsid w:val="00BE1E4D"/>
    <w:rsid w:val="00BE6351"/>
    <w:rsid w:val="00BF1BD4"/>
    <w:rsid w:val="00BF3671"/>
    <w:rsid w:val="00BF381F"/>
    <w:rsid w:val="00BF3A64"/>
    <w:rsid w:val="00BF4F0B"/>
    <w:rsid w:val="00BF53C0"/>
    <w:rsid w:val="00BF6730"/>
    <w:rsid w:val="00BF7643"/>
    <w:rsid w:val="00BF7E4F"/>
    <w:rsid w:val="00C01070"/>
    <w:rsid w:val="00C028C2"/>
    <w:rsid w:val="00C0412F"/>
    <w:rsid w:val="00C04655"/>
    <w:rsid w:val="00C07526"/>
    <w:rsid w:val="00C110AC"/>
    <w:rsid w:val="00C12D75"/>
    <w:rsid w:val="00C21378"/>
    <w:rsid w:val="00C25700"/>
    <w:rsid w:val="00C307DD"/>
    <w:rsid w:val="00C3199D"/>
    <w:rsid w:val="00C322BF"/>
    <w:rsid w:val="00C32A56"/>
    <w:rsid w:val="00C32B46"/>
    <w:rsid w:val="00C35E5B"/>
    <w:rsid w:val="00C40B8B"/>
    <w:rsid w:val="00C411C2"/>
    <w:rsid w:val="00C4644F"/>
    <w:rsid w:val="00C5016A"/>
    <w:rsid w:val="00C5405B"/>
    <w:rsid w:val="00C54060"/>
    <w:rsid w:val="00C540FC"/>
    <w:rsid w:val="00C54DD9"/>
    <w:rsid w:val="00C6065C"/>
    <w:rsid w:val="00C612EB"/>
    <w:rsid w:val="00C63233"/>
    <w:rsid w:val="00C6328B"/>
    <w:rsid w:val="00C67A2E"/>
    <w:rsid w:val="00C67BCE"/>
    <w:rsid w:val="00C700EB"/>
    <w:rsid w:val="00C70A93"/>
    <w:rsid w:val="00C70ABB"/>
    <w:rsid w:val="00C73585"/>
    <w:rsid w:val="00C76077"/>
    <w:rsid w:val="00C80ADD"/>
    <w:rsid w:val="00C82CDD"/>
    <w:rsid w:val="00C84193"/>
    <w:rsid w:val="00C846DE"/>
    <w:rsid w:val="00C87F73"/>
    <w:rsid w:val="00C91483"/>
    <w:rsid w:val="00C93C50"/>
    <w:rsid w:val="00C969D7"/>
    <w:rsid w:val="00C97B3E"/>
    <w:rsid w:val="00CA0BE1"/>
    <w:rsid w:val="00CA225E"/>
    <w:rsid w:val="00CA269C"/>
    <w:rsid w:val="00CA7BB9"/>
    <w:rsid w:val="00CB1A96"/>
    <w:rsid w:val="00CB2D20"/>
    <w:rsid w:val="00CB3DFD"/>
    <w:rsid w:val="00CC02A1"/>
    <w:rsid w:val="00CC21F0"/>
    <w:rsid w:val="00CC3127"/>
    <w:rsid w:val="00CC3843"/>
    <w:rsid w:val="00CC6205"/>
    <w:rsid w:val="00CC7851"/>
    <w:rsid w:val="00CC78E2"/>
    <w:rsid w:val="00CD5D06"/>
    <w:rsid w:val="00CD72B1"/>
    <w:rsid w:val="00CE716B"/>
    <w:rsid w:val="00CF3205"/>
    <w:rsid w:val="00CF373C"/>
    <w:rsid w:val="00CF52D3"/>
    <w:rsid w:val="00CF7200"/>
    <w:rsid w:val="00D04040"/>
    <w:rsid w:val="00D04410"/>
    <w:rsid w:val="00D04A75"/>
    <w:rsid w:val="00D06A5D"/>
    <w:rsid w:val="00D06BAD"/>
    <w:rsid w:val="00D0718E"/>
    <w:rsid w:val="00D074A1"/>
    <w:rsid w:val="00D1040C"/>
    <w:rsid w:val="00D1160E"/>
    <w:rsid w:val="00D13D5D"/>
    <w:rsid w:val="00D16444"/>
    <w:rsid w:val="00D165D6"/>
    <w:rsid w:val="00D16F2B"/>
    <w:rsid w:val="00D207B7"/>
    <w:rsid w:val="00D21002"/>
    <w:rsid w:val="00D24150"/>
    <w:rsid w:val="00D260AF"/>
    <w:rsid w:val="00D33461"/>
    <w:rsid w:val="00D3551A"/>
    <w:rsid w:val="00D35DAE"/>
    <w:rsid w:val="00D366AC"/>
    <w:rsid w:val="00D41185"/>
    <w:rsid w:val="00D41899"/>
    <w:rsid w:val="00D42D17"/>
    <w:rsid w:val="00D47B24"/>
    <w:rsid w:val="00D5228A"/>
    <w:rsid w:val="00D53AF3"/>
    <w:rsid w:val="00D54F3D"/>
    <w:rsid w:val="00D5564E"/>
    <w:rsid w:val="00D5596D"/>
    <w:rsid w:val="00D62FC9"/>
    <w:rsid w:val="00D663D3"/>
    <w:rsid w:val="00D70E7C"/>
    <w:rsid w:val="00D718B8"/>
    <w:rsid w:val="00D75454"/>
    <w:rsid w:val="00D77625"/>
    <w:rsid w:val="00D7770E"/>
    <w:rsid w:val="00D8057E"/>
    <w:rsid w:val="00D85EBE"/>
    <w:rsid w:val="00D86BCC"/>
    <w:rsid w:val="00D8761F"/>
    <w:rsid w:val="00D9080D"/>
    <w:rsid w:val="00D91C76"/>
    <w:rsid w:val="00D93F93"/>
    <w:rsid w:val="00D9470E"/>
    <w:rsid w:val="00D95201"/>
    <w:rsid w:val="00D95C3F"/>
    <w:rsid w:val="00DA0DAC"/>
    <w:rsid w:val="00DA2559"/>
    <w:rsid w:val="00DA3001"/>
    <w:rsid w:val="00DA459A"/>
    <w:rsid w:val="00DB49F8"/>
    <w:rsid w:val="00DB557B"/>
    <w:rsid w:val="00DB59D2"/>
    <w:rsid w:val="00DB78EE"/>
    <w:rsid w:val="00DC1AFB"/>
    <w:rsid w:val="00DC30D3"/>
    <w:rsid w:val="00DC5E5C"/>
    <w:rsid w:val="00DD0AA3"/>
    <w:rsid w:val="00DD1778"/>
    <w:rsid w:val="00DD55ED"/>
    <w:rsid w:val="00DD5769"/>
    <w:rsid w:val="00DD663A"/>
    <w:rsid w:val="00DE09B4"/>
    <w:rsid w:val="00DE2E10"/>
    <w:rsid w:val="00DE2F9C"/>
    <w:rsid w:val="00DE4A88"/>
    <w:rsid w:val="00DE517A"/>
    <w:rsid w:val="00DF3C19"/>
    <w:rsid w:val="00DF7395"/>
    <w:rsid w:val="00E00D90"/>
    <w:rsid w:val="00E01C63"/>
    <w:rsid w:val="00E0389B"/>
    <w:rsid w:val="00E05D20"/>
    <w:rsid w:val="00E113CA"/>
    <w:rsid w:val="00E13931"/>
    <w:rsid w:val="00E16062"/>
    <w:rsid w:val="00E24E88"/>
    <w:rsid w:val="00E2599F"/>
    <w:rsid w:val="00E27A0F"/>
    <w:rsid w:val="00E303B9"/>
    <w:rsid w:val="00E316F3"/>
    <w:rsid w:val="00E31D85"/>
    <w:rsid w:val="00E3510C"/>
    <w:rsid w:val="00E41E00"/>
    <w:rsid w:val="00E42DE3"/>
    <w:rsid w:val="00E432C4"/>
    <w:rsid w:val="00E454A2"/>
    <w:rsid w:val="00E46FD1"/>
    <w:rsid w:val="00E51BBF"/>
    <w:rsid w:val="00E5316E"/>
    <w:rsid w:val="00E53AC8"/>
    <w:rsid w:val="00E57807"/>
    <w:rsid w:val="00E57E3F"/>
    <w:rsid w:val="00E60FA4"/>
    <w:rsid w:val="00E61461"/>
    <w:rsid w:val="00E629C9"/>
    <w:rsid w:val="00E66CA5"/>
    <w:rsid w:val="00E70218"/>
    <w:rsid w:val="00E7504B"/>
    <w:rsid w:val="00E75FEB"/>
    <w:rsid w:val="00E776DE"/>
    <w:rsid w:val="00E80C5C"/>
    <w:rsid w:val="00E821B8"/>
    <w:rsid w:val="00E85F3C"/>
    <w:rsid w:val="00E861EC"/>
    <w:rsid w:val="00E863D4"/>
    <w:rsid w:val="00E86B55"/>
    <w:rsid w:val="00E876B2"/>
    <w:rsid w:val="00E90D0D"/>
    <w:rsid w:val="00E90D17"/>
    <w:rsid w:val="00E91E02"/>
    <w:rsid w:val="00E92FD5"/>
    <w:rsid w:val="00E93266"/>
    <w:rsid w:val="00E93390"/>
    <w:rsid w:val="00EA0280"/>
    <w:rsid w:val="00EA377C"/>
    <w:rsid w:val="00EA3937"/>
    <w:rsid w:val="00EA3BC6"/>
    <w:rsid w:val="00EA5D5B"/>
    <w:rsid w:val="00EA760A"/>
    <w:rsid w:val="00EB04F6"/>
    <w:rsid w:val="00EB4180"/>
    <w:rsid w:val="00EB72FF"/>
    <w:rsid w:val="00EC5448"/>
    <w:rsid w:val="00EC544C"/>
    <w:rsid w:val="00EC626D"/>
    <w:rsid w:val="00EC6E30"/>
    <w:rsid w:val="00EC77A6"/>
    <w:rsid w:val="00EC7A4A"/>
    <w:rsid w:val="00ED0EBA"/>
    <w:rsid w:val="00ED11AA"/>
    <w:rsid w:val="00ED169D"/>
    <w:rsid w:val="00ED4F6E"/>
    <w:rsid w:val="00EF20D8"/>
    <w:rsid w:val="00EF3FE2"/>
    <w:rsid w:val="00EF685F"/>
    <w:rsid w:val="00F01680"/>
    <w:rsid w:val="00F0314A"/>
    <w:rsid w:val="00F03344"/>
    <w:rsid w:val="00F058B1"/>
    <w:rsid w:val="00F07E4C"/>
    <w:rsid w:val="00F10B5F"/>
    <w:rsid w:val="00F124C0"/>
    <w:rsid w:val="00F12941"/>
    <w:rsid w:val="00F14BD2"/>
    <w:rsid w:val="00F14D7E"/>
    <w:rsid w:val="00F14D8B"/>
    <w:rsid w:val="00F15F1C"/>
    <w:rsid w:val="00F162CE"/>
    <w:rsid w:val="00F20741"/>
    <w:rsid w:val="00F2388D"/>
    <w:rsid w:val="00F23BDA"/>
    <w:rsid w:val="00F251CB"/>
    <w:rsid w:val="00F26463"/>
    <w:rsid w:val="00F3044D"/>
    <w:rsid w:val="00F30FD1"/>
    <w:rsid w:val="00F32950"/>
    <w:rsid w:val="00F33ED6"/>
    <w:rsid w:val="00F3793B"/>
    <w:rsid w:val="00F45790"/>
    <w:rsid w:val="00F500C7"/>
    <w:rsid w:val="00F50BEE"/>
    <w:rsid w:val="00F50C44"/>
    <w:rsid w:val="00F51E74"/>
    <w:rsid w:val="00F55DD4"/>
    <w:rsid w:val="00F5796B"/>
    <w:rsid w:val="00F64DD7"/>
    <w:rsid w:val="00F74391"/>
    <w:rsid w:val="00F74863"/>
    <w:rsid w:val="00F75C3A"/>
    <w:rsid w:val="00F76C46"/>
    <w:rsid w:val="00F81722"/>
    <w:rsid w:val="00F83031"/>
    <w:rsid w:val="00F84EAC"/>
    <w:rsid w:val="00F9088D"/>
    <w:rsid w:val="00F90F42"/>
    <w:rsid w:val="00F9491A"/>
    <w:rsid w:val="00F955D0"/>
    <w:rsid w:val="00F97455"/>
    <w:rsid w:val="00FA0499"/>
    <w:rsid w:val="00FA09E1"/>
    <w:rsid w:val="00FA4D1F"/>
    <w:rsid w:val="00FA4F3F"/>
    <w:rsid w:val="00FA4F7C"/>
    <w:rsid w:val="00FA7083"/>
    <w:rsid w:val="00FA747E"/>
    <w:rsid w:val="00FB16BF"/>
    <w:rsid w:val="00FB2B28"/>
    <w:rsid w:val="00FB5539"/>
    <w:rsid w:val="00FB575D"/>
    <w:rsid w:val="00FB5ECD"/>
    <w:rsid w:val="00FB6110"/>
    <w:rsid w:val="00FC06EC"/>
    <w:rsid w:val="00FC0F8E"/>
    <w:rsid w:val="00FC2542"/>
    <w:rsid w:val="00FC5D37"/>
    <w:rsid w:val="00FD2175"/>
    <w:rsid w:val="00FF07AB"/>
    <w:rsid w:val="00FF37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800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4099"/>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r-FR"/>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r-FR"/>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r-FR"/>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346F75-EA45-4D2A-AD9C-CE780244B6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1204</Words>
  <Characters>7127</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8315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183</cp:revision>
  <cp:lastPrinted>2017-04-26T09:21:00Z</cp:lastPrinted>
  <dcterms:created xsi:type="dcterms:W3CDTF">2017-07-12T12:27:00Z</dcterms:created>
  <dcterms:modified xsi:type="dcterms:W3CDTF">2017-09-06T12:10:00Z</dcterms:modified>
</cp:coreProperties>
</file>